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44C4" w:rsidRPr="00AD4F05" w:rsidRDefault="006544C4" w:rsidP="00907825">
      <w:pPr>
        <w:jc w:val="center"/>
        <w:rPr>
          <w:lang w:val="fr-FR"/>
        </w:rPr>
      </w:pPr>
      <w:bookmarkStart w:id="0" w:name="_GoBack"/>
      <w:bookmarkEnd w:id="0"/>
    </w:p>
    <w:p w:rsidR="006544C4" w:rsidRPr="00AD4F05" w:rsidRDefault="006544C4" w:rsidP="00907825">
      <w:pPr>
        <w:jc w:val="center"/>
        <w:rPr>
          <w:lang w:val="fr-FR"/>
        </w:rPr>
      </w:pPr>
    </w:p>
    <w:p w:rsidR="006544C4" w:rsidRPr="00AD4F05" w:rsidRDefault="006F453D" w:rsidP="00907825">
      <w:pPr>
        <w:pStyle w:val="DecHTitle"/>
        <w:rPr>
          <w:lang w:val="fr-FR"/>
        </w:rPr>
      </w:pPr>
      <w:r>
        <w:rPr>
          <w:szCs w:val="24"/>
          <w:lang w:val="fr-FR"/>
        </w:rPr>
        <w:t>QUATRIÈME SECTION</w:t>
      </w:r>
    </w:p>
    <w:p w:rsidR="006544C4" w:rsidRPr="00AD4F05" w:rsidRDefault="006544C4" w:rsidP="00907825">
      <w:pPr>
        <w:pStyle w:val="DecHTitle"/>
        <w:rPr>
          <w:caps/>
          <w:sz w:val="32"/>
          <w:lang w:val="fr-FR"/>
        </w:rPr>
      </w:pPr>
      <w:r w:rsidRPr="00AD4F05">
        <w:rPr>
          <w:lang w:val="fr-FR"/>
        </w:rPr>
        <w:t>DÉCISION</w:t>
      </w:r>
    </w:p>
    <w:p w:rsidR="006544C4" w:rsidRPr="00AD4F05" w:rsidRDefault="006F453D" w:rsidP="00907825">
      <w:pPr>
        <w:pStyle w:val="ECHRTitleCentre2"/>
        <w:rPr>
          <w:lang w:val="fr-FR"/>
        </w:rPr>
      </w:pPr>
      <w:r w:rsidRPr="00AD4F05">
        <w:rPr>
          <w:lang w:val="fr-FR"/>
        </w:rPr>
        <w:t>Requête n</w:t>
      </w:r>
      <w:r w:rsidRPr="00AD4F05">
        <w:rPr>
          <w:vertAlign w:val="superscript"/>
          <w:lang w:val="fr-FR"/>
        </w:rPr>
        <w:t>o</w:t>
      </w:r>
      <w:r w:rsidR="006544C4" w:rsidRPr="00AD4F05">
        <w:rPr>
          <w:lang w:val="fr-FR"/>
        </w:rPr>
        <w:t xml:space="preserve"> </w:t>
      </w:r>
      <w:r>
        <w:rPr>
          <w:lang w:val="fr-FR"/>
        </w:rPr>
        <w:t>37648/02</w:t>
      </w:r>
      <w:r w:rsidR="006544C4" w:rsidRPr="00AD4F05">
        <w:rPr>
          <w:lang w:val="fr-FR"/>
        </w:rPr>
        <w:br/>
      </w:r>
      <w:r>
        <w:rPr>
          <w:lang w:val="fr-FR"/>
        </w:rPr>
        <w:t>Orazio</w:t>
      </w:r>
      <w:r w:rsidRPr="00AD4F05">
        <w:rPr>
          <w:lang w:val="fr-FR"/>
        </w:rPr>
        <w:t xml:space="preserve"> </w:t>
      </w:r>
      <w:r>
        <w:rPr>
          <w:lang w:val="fr-FR"/>
        </w:rPr>
        <w:t>PAOLELLO</w:t>
      </w:r>
      <w:r w:rsidRPr="00AD4F05">
        <w:rPr>
          <w:lang w:val="fr-FR"/>
        </w:rPr>
        <w:br/>
      </w:r>
      <w:r w:rsidR="006544C4" w:rsidRPr="00AD4F05">
        <w:rPr>
          <w:lang w:val="fr-FR"/>
        </w:rPr>
        <w:t xml:space="preserve">contre </w:t>
      </w:r>
      <w:r w:rsidRPr="00AD4F05">
        <w:rPr>
          <w:lang w:val="fr-FR"/>
        </w:rPr>
        <w:t>l</w:t>
      </w:r>
      <w:r w:rsidR="00F21895">
        <w:rPr>
          <w:lang w:val="fr-FR"/>
        </w:rPr>
        <w:t>’</w:t>
      </w:r>
      <w:r>
        <w:rPr>
          <w:lang w:val="fr-FR"/>
        </w:rPr>
        <w:t>Italie</w:t>
      </w:r>
    </w:p>
    <w:p w:rsidR="006F453D" w:rsidRPr="0072720E" w:rsidRDefault="006F453D" w:rsidP="00BA19BF">
      <w:pPr>
        <w:pStyle w:val="ECHRPara"/>
        <w:rPr>
          <w:lang w:val="fr-FR"/>
        </w:rPr>
      </w:pPr>
      <w:r w:rsidRPr="0072720E">
        <w:rPr>
          <w:lang w:val="fr-FR"/>
        </w:rPr>
        <w:t>La Cour européenne des droits de l</w:t>
      </w:r>
      <w:r w:rsidR="00F21895">
        <w:rPr>
          <w:lang w:val="fr-FR"/>
        </w:rPr>
        <w:t>’</w:t>
      </w:r>
      <w:r w:rsidRPr="0072720E">
        <w:rPr>
          <w:lang w:val="fr-FR"/>
        </w:rPr>
        <w:t>homme (</w:t>
      </w:r>
      <w:r>
        <w:rPr>
          <w:lang w:val="fr-FR"/>
        </w:rPr>
        <w:t>quatrième section</w:t>
      </w:r>
      <w:r w:rsidRPr="0072720E">
        <w:rPr>
          <w:lang w:val="fr-FR"/>
        </w:rPr>
        <w:t xml:space="preserve">), siégeant le </w:t>
      </w:r>
      <w:r w:rsidR="00CB35E0">
        <w:rPr>
          <w:lang w:val="fr-FR"/>
        </w:rPr>
        <w:t>1</w:t>
      </w:r>
      <w:r w:rsidR="00CB35E0" w:rsidRPr="00CB35E0">
        <w:rPr>
          <w:vertAlign w:val="superscript"/>
          <w:lang w:val="fr-FR"/>
        </w:rPr>
        <w:t>er</w:t>
      </w:r>
      <w:r w:rsidR="00CB35E0">
        <w:rPr>
          <w:lang w:val="fr-FR"/>
        </w:rPr>
        <w:t xml:space="preserve"> septembre 2015</w:t>
      </w:r>
      <w:r w:rsidRPr="0072720E">
        <w:rPr>
          <w:lang w:val="fr-FR"/>
        </w:rPr>
        <w:t xml:space="preserve"> en une </w:t>
      </w:r>
      <w:r>
        <w:rPr>
          <w:lang w:val="fr-FR"/>
        </w:rPr>
        <w:t>Chambre</w:t>
      </w:r>
      <w:r w:rsidRPr="0072720E">
        <w:rPr>
          <w:lang w:val="fr-FR"/>
        </w:rPr>
        <w:t xml:space="preserve"> composée de :</w:t>
      </w:r>
    </w:p>
    <w:p w:rsidR="006F453D" w:rsidRPr="008626FD" w:rsidRDefault="00CB35E0" w:rsidP="00BA19BF">
      <w:pPr>
        <w:pStyle w:val="ECHRDecisionBody"/>
        <w:rPr>
          <w:lang w:val="fr-FR"/>
        </w:rPr>
      </w:pPr>
      <w:r w:rsidRPr="008626FD">
        <w:rPr>
          <w:lang w:val="fr-FR"/>
        </w:rPr>
        <w:tab/>
      </w:r>
      <w:proofErr w:type="spellStart"/>
      <w:r w:rsidRPr="00CB35E0">
        <w:rPr>
          <w:lang w:val="fr-FR"/>
        </w:rPr>
        <w:t>Päivi</w:t>
      </w:r>
      <w:proofErr w:type="spellEnd"/>
      <w:r w:rsidRPr="008626FD">
        <w:rPr>
          <w:lang w:val="fr-FR"/>
        </w:rPr>
        <w:t xml:space="preserve"> </w:t>
      </w:r>
      <w:proofErr w:type="spellStart"/>
      <w:r w:rsidRPr="008626FD">
        <w:rPr>
          <w:lang w:val="fr-FR"/>
        </w:rPr>
        <w:t>Hirvelä</w:t>
      </w:r>
      <w:proofErr w:type="spellEnd"/>
      <w:r w:rsidRPr="008626FD">
        <w:rPr>
          <w:lang w:val="fr-FR"/>
        </w:rPr>
        <w:t>,</w:t>
      </w:r>
      <w:r w:rsidRPr="008626FD">
        <w:rPr>
          <w:i/>
          <w:lang w:val="fr-FR"/>
        </w:rPr>
        <w:t xml:space="preserve"> présidente,</w:t>
      </w:r>
      <w:r w:rsidRPr="008626FD">
        <w:rPr>
          <w:i/>
          <w:lang w:val="fr-FR"/>
        </w:rPr>
        <w:br/>
      </w:r>
      <w:r w:rsidRPr="008626FD">
        <w:rPr>
          <w:lang w:val="fr-FR"/>
        </w:rPr>
        <w:tab/>
        <w:t>Guido Raimondi,</w:t>
      </w:r>
      <w:r w:rsidRPr="008626FD">
        <w:rPr>
          <w:i/>
          <w:lang w:val="fr-FR"/>
        </w:rPr>
        <w:br/>
      </w:r>
      <w:r w:rsidRPr="008626FD">
        <w:rPr>
          <w:lang w:val="fr-FR"/>
        </w:rPr>
        <w:tab/>
        <w:t xml:space="preserve">George </w:t>
      </w:r>
      <w:proofErr w:type="spellStart"/>
      <w:r w:rsidRPr="008626FD">
        <w:rPr>
          <w:lang w:val="fr-FR"/>
        </w:rPr>
        <w:t>Nicolaou</w:t>
      </w:r>
      <w:proofErr w:type="spellEnd"/>
      <w:r w:rsidRPr="008626FD">
        <w:rPr>
          <w:lang w:val="fr-FR"/>
        </w:rPr>
        <w:t>,</w:t>
      </w:r>
      <w:r w:rsidRPr="008626FD">
        <w:rPr>
          <w:i/>
          <w:lang w:val="fr-FR"/>
        </w:rPr>
        <w:br/>
      </w:r>
      <w:r w:rsidRPr="008626FD">
        <w:rPr>
          <w:lang w:val="fr-FR"/>
        </w:rPr>
        <w:tab/>
      </w:r>
      <w:proofErr w:type="spellStart"/>
      <w:r w:rsidRPr="008626FD">
        <w:rPr>
          <w:lang w:val="fr-FR"/>
        </w:rPr>
        <w:t>Ledi</w:t>
      </w:r>
      <w:proofErr w:type="spellEnd"/>
      <w:r w:rsidRPr="008626FD">
        <w:rPr>
          <w:lang w:val="fr-FR"/>
        </w:rPr>
        <w:t xml:space="preserve"> </w:t>
      </w:r>
      <w:proofErr w:type="spellStart"/>
      <w:r w:rsidRPr="008626FD">
        <w:rPr>
          <w:lang w:val="fr-FR"/>
        </w:rPr>
        <w:t>Bianku</w:t>
      </w:r>
      <w:proofErr w:type="spellEnd"/>
      <w:r w:rsidRPr="008626FD">
        <w:rPr>
          <w:lang w:val="fr-FR"/>
        </w:rPr>
        <w:t>,</w:t>
      </w:r>
      <w:r w:rsidRPr="008626FD">
        <w:rPr>
          <w:i/>
          <w:lang w:val="fr-FR"/>
        </w:rPr>
        <w:br/>
      </w:r>
      <w:r w:rsidRPr="008626FD">
        <w:rPr>
          <w:lang w:val="fr-FR"/>
        </w:rPr>
        <w:tab/>
        <w:t xml:space="preserve">Paul </w:t>
      </w:r>
      <w:proofErr w:type="spellStart"/>
      <w:r w:rsidRPr="008626FD">
        <w:rPr>
          <w:lang w:val="fr-FR"/>
        </w:rPr>
        <w:t>Mahoney</w:t>
      </w:r>
      <w:proofErr w:type="spellEnd"/>
      <w:r w:rsidRPr="008626FD">
        <w:rPr>
          <w:lang w:val="fr-FR"/>
        </w:rPr>
        <w:t>,</w:t>
      </w:r>
      <w:r w:rsidRPr="008626FD">
        <w:rPr>
          <w:i/>
          <w:lang w:val="fr-FR"/>
        </w:rPr>
        <w:br/>
      </w:r>
      <w:r w:rsidRPr="008626FD">
        <w:rPr>
          <w:lang w:val="fr-FR"/>
        </w:rPr>
        <w:tab/>
        <w:t xml:space="preserve">Krzysztof </w:t>
      </w:r>
      <w:proofErr w:type="spellStart"/>
      <w:r w:rsidRPr="008626FD">
        <w:rPr>
          <w:lang w:val="fr-FR"/>
        </w:rPr>
        <w:t>Wojtyczek</w:t>
      </w:r>
      <w:proofErr w:type="spellEnd"/>
      <w:r w:rsidRPr="008626FD">
        <w:rPr>
          <w:lang w:val="fr-FR"/>
        </w:rPr>
        <w:t>,</w:t>
      </w:r>
      <w:r w:rsidRPr="008626FD">
        <w:rPr>
          <w:i/>
          <w:lang w:val="fr-FR"/>
        </w:rPr>
        <w:br/>
      </w:r>
      <w:r w:rsidRPr="008626FD">
        <w:rPr>
          <w:lang w:val="fr-FR"/>
        </w:rPr>
        <w:tab/>
      </w:r>
      <w:proofErr w:type="spellStart"/>
      <w:r w:rsidRPr="008626FD">
        <w:rPr>
          <w:lang w:val="fr-FR"/>
        </w:rPr>
        <w:t>Yonko</w:t>
      </w:r>
      <w:proofErr w:type="spellEnd"/>
      <w:r w:rsidRPr="008626FD">
        <w:rPr>
          <w:lang w:val="fr-FR"/>
        </w:rPr>
        <w:t xml:space="preserve"> </w:t>
      </w:r>
      <w:proofErr w:type="spellStart"/>
      <w:r w:rsidRPr="008626FD">
        <w:rPr>
          <w:lang w:val="fr-FR"/>
        </w:rPr>
        <w:t>Grozev</w:t>
      </w:r>
      <w:proofErr w:type="spellEnd"/>
      <w:r w:rsidRPr="008626FD">
        <w:rPr>
          <w:lang w:val="fr-FR"/>
        </w:rPr>
        <w:t>,</w:t>
      </w:r>
      <w:r w:rsidRPr="008626FD">
        <w:rPr>
          <w:i/>
          <w:lang w:val="fr-FR"/>
        </w:rPr>
        <w:t xml:space="preserve"> juges,</w:t>
      </w:r>
    </w:p>
    <w:p w:rsidR="006F453D" w:rsidRPr="0072720E" w:rsidRDefault="006F453D" w:rsidP="008626FD">
      <w:pPr>
        <w:pStyle w:val="ECHRPara"/>
        <w:ind w:firstLine="0"/>
        <w:rPr>
          <w:lang w:val="fr-FR"/>
        </w:rPr>
      </w:pPr>
      <w:proofErr w:type="gramStart"/>
      <w:r w:rsidRPr="0072720E">
        <w:rPr>
          <w:lang w:val="fr-FR"/>
        </w:rPr>
        <w:t>et</w:t>
      </w:r>
      <w:proofErr w:type="gramEnd"/>
      <w:r w:rsidRPr="0072720E">
        <w:rPr>
          <w:lang w:val="fr-FR"/>
        </w:rPr>
        <w:t xml:space="preserve"> de </w:t>
      </w:r>
      <w:proofErr w:type="spellStart"/>
      <w:r w:rsidRPr="008E51C9">
        <w:rPr>
          <w:szCs w:val="24"/>
          <w:lang w:val="fr-FR"/>
        </w:rPr>
        <w:t>Fatoş</w:t>
      </w:r>
      <w:proofErr w:type="spellEnd"/>
      <w:r w:rsidRPr="008E51C9">
        <w:rPr>
          <w:szCs w:val="24"/>
          <w:lang w:val="fr-FR"/>
        </w:rPr>
        <w:t xml:space="preserve"> </w:t>
      </w:r>
      <w:proofErr w:type="spellStart"/>
      <w:r w:rsidRPr="008E51C9">
        <w:rPr>
          <w:szCs w:val="24"/>
          <w:lang w:val="fr-FR"/>
        </w:rPr>
        <w:t>Aracı</w:t>
      </w:r>
      <w:proofErr w:type="spellEnd"/>
      <w:r w:rsidRPr="008E51C9">
        <w:rPr>
          <w:szCs w:val="24"/>
          <w:lang w:val="fr-FR"/>
        </w:rPr>
        <w:t xml:space="preserve">, </w:t>
      </w:r>
      <w:r w:rsidRPr="008E51C9">
        <w:rPr>
          <w:i/>
          <w:lang w:val="fr-FR"/>
        </w:rPr>
        <w:t>greffière adjointe de section,</w:t>
      </w:r>
    </w:p>
    <w:p w:rsidR="006F453D" w:rsidRDefault="006F453D" w:rsidP="00BA19BF">
      <w:pPr>
        <w:pStyle w:val="ECHRPara"/>
        <w:rPr>
          <w:lang w:val="fr-FR"/>
        </w:rPr>
      </w:pPr>
      <w:r w:rsidRPr="0072720E">
        <w:rPr>
          <w:lang w:val="fr-FR"/>
        </w:rPr>
        <w:t xml:space="preserve">Vu la requête susmentionnée introduite le </w:t>
      </w:r>
      <w:r>
        <w:rPr>
          <w:lang w:val="fr-FR"/>
        </w:rPr>
        <w:t>10 octobre 2002</w:t>
      </w:r>
      <w:r w:rsidRPr="0072720E">
        <w:rPr>
          <w:lang w:val="fr-FR"/>
        </w:rPr>
        <w:t>,</w:t>
      </w:r>
    </w:p>
    <w:p w:rsidR="006F453D" w:rsidRDefault="006F453D" w:rsidP="00BA19BF">
      <w:pPr>
        <w:pStyle w:val="ECHRPara"/>
        <w:rPr>
          <w:lang w:val="fr-FR"/>
        </w:rPr>
      </w:pPr>
      <w:r>
        <w:rPr>
          <w:lang w:val="fr-FR"/>
        </w:rPr>
        <w:t>Vu les observations présentées par le Gouvernement défendeur et celles en réponse du requérant,</w:t>
      </w:r>
    </w:p>
    <w:p w:rsidR="006F453D" w:rsidRPr="0072720E" w:rsidRDefault="006F453D" w:rsidP="00BA19BF">
      <w:pPr>
        <w:pStyle w:val="ECHRPara"/>
        <w:rPr>
          <w:color w:val="000000"/>
          <w:lang w:val="fr-FR"/>
        </w:rPr>
      </w:pPr>
      <w:r w:rsidRPr="0072720E">
        <w:rPr>
          <w:lang w:val="fr-FR"/>
        </w:rPr>
        <w:t>Après en avoir délibéré</w:t>
      </w:r>
      <w:r>
        <w:rPr>
          <w:lang w:val="fr-FR"/>
        </w:rPr>
        <w:t>, rend la décision suivante :</w:t>
      </w:r>
    </w:p>
    <w:p w:rsidR="006F453D" w:rsidRPr="008626FD" w:rsidRDefault="006F453D" w:rsidP="00FB35E3">
      <w:pPr>
        <w:pStyle w:val="ECHRTitle1"/>
        <w:rPr>
          <w:lang w:val="fr-FR"/>
        </w:rPr>
      </w:pPr>
      <w:r w:rsidRPr="0072720E">
        <w:rPr>
          <w:lang w:val="fr-FR"/>
        </w:rPr>
        <w:t>EN FAIT</w:t>
      </w:r>
    </w:p>
    <w:p w:rsidR="006F453D" w:rsidRPr="00281BA0" w:rsidRDefault="006F453D" w:rsidP="00BA19BF">
      <w:pPr>
        <w:pStyle w:val="ECHRPara"/>
        <w:rPr>
          <w:lang w:val="fr-FR"/>
        </w:rPr>
      </w:pPr>
      <w:r w:rsidRPr="00C22AE7">
        <w:rPr>
          <w:lang w:val="fr-FR"/>
        </w:rPr>
        <w:t>1</w:t>
      </w:r>
      <w:r w:rsidRPr="0030133E">
        <w:rPr>
          <w:lang w:val="fr-FR"/>
        </w:rPr>
        <w:t>.</w:t>
      </w:r>
      <w:r>
        <w:rPr>
          <w:lang w:val="fr-FR"/>
        </w:rPr>
        <w:t>  </w:t>
      </w:r>
      <w:r w:rsidRPr="00281BA0">
        <w:rPr>
          <w:lang w:val="fr-FR"/>
        </w:rPr>
        <w:t xml:space="preserve">Le requérant, M. Orazio </w:t>
      </w:r>
      <w:proofErr w:type="spellStart"/>
      <w:r w:rsidRPr="00281BA0">
        <w:rPr>
          <w:lang w:val="fr-FR"/>
        </w:rPr>
        <w:t>Paolello</w:t>
      </w:r>
      <w:proofErr w:type="spellEnd"/>
      <w:r w:rsidRPr="00281BA0">
        <w:rPr>
          <w:lang w:val="fr-FR"/>
        </w:rPr>
        <w:t>, est un ressortissant italien né en 1966. Il a saisi la Cour le 10 octobre 2002. Il a été représenté devant la Cour par M</w:t>
      </w:r>
      <w:r w:rsidRPr="00281BA0">
        <w:rPr>
          <w:vertAlign w:val="superscript"/>
          <w:lang w:val="fr-FR"/>
        </w:rPr>
        <w:t>e</w:t>
      </w:r>
      <w:r w:rsidRPr="00281BA0">
        <w:rPr>
          <w:lang w:val="fr-FR"/>
        </w:rPr>
        <w:t xml:space="preserve"> M. </w:t>
      </w:r>
      <w:proofErr w:type="spellStart"/>
      <w:r w:rsidRPr="00281BA0">
        <w:rPr>
          <w:lang w:val="fr-FR"/>
        </w:rPr>
        <w:t>Modà</w:t>
      </w:r>
      <w:proofErr w:type="spellEnd"/>
      <w:r w:rsidRPr="00281BA0">
        <w:rPr>
          <w:lang w:val="fr-FR"/>
        </w:rPr>
        <w:t>, avocat à Bra.</w:t>
      </w:r>
    </w:p>
    <w:p w:rsidR="006F453D" w:rsidRPr="00281BA0" w:rsidRDefault="006F453D" w:rsidP="00BA19BF">
      <w:pPr>
        <w:pStyle w:val="ECHRPara"/>
        <w:rPr>
          <w:lang w:val="fr-FR"/>
        </w:rPr>
      </w:pPr>
      <w:r>
        <w:rPr>
          <w:lang w:val="fr-FR"/>
        </w:rPr>
        <w:t>2.  </w:t>
      </w:r>
      <w:r w:rsidRPr="00281BA0">
        <w:rPr>
          <w:lang w:val="fr-FR"/>
        </w:rPr>
        <w:t xml:space="preserve">Le gouvernement italien (« le Gouvernement ») </w:t>
      </w:r>
      <w:r>
        <w:rPr>
          <w:lang w:val="fr-FR"/>
        </w:rPr>
        <w:t>a été</w:t>
      </w:r>
      <w:r w:rsidRPr="00281BA0">
        <w:rPr>
          <w:lang w:val="fr-FR"/>
        </w:rPr>
        <w:t xml:space="preserve"> représenté par son agent, M</w:t>
      </w:r>
      <w:r w:rsidRPr="00281BA0">
        <w:rPr>
          <w:vertAlign w:val="superscript"/>
          <w:lang w:val="fr-FR"/>
        </w:rPr>
        <w:t>me</w:t>
      </w:r>
      <w:r w:rsidRPr="00281BA0">
        <w:rPr>
          <w:lang w:val="fr-FR"/>
        </w:rPr>
        <w:t xml:space="preserve"> E. </w:t>
      </w:r>
      <w:proofErr w:type="spellStart"/>
      <w:r w:rsidRPr="00281BA0">
        <w:rPr>
          <w:lang w:val="fr-FR"/>
        </w:rPr>
        <w:t>Spatafora</w:t>
      </w:r>
      <w:proofErr w:type="spellEnd"/>
      <w:r w:rsidRPr="00281BA0">
        <w:rPr>
          <w:lang w:val="fr-FR"/>
        </w:rPr>
        <w:t xml:space="preserve"> et son ancien </w:t>
      </w:r>
      <w:proofErr w:type="spellStart"/>
      <w:r w:rsidRPr="00281BA0">
        <w:rPr>
          <w:lang w:val="fr-FR"/>
        </w:rPr>
        <w:t>coagent</w:t>
      </w:r>
      <w:proofErr w:type="spellEnd"/>
      <w:r w:rsidRPr="00281BA0">
        <w:rPr>
          <w:lang w:val="fr-FR"/>
        </w:rPr>
        <w:t xml:space="preserve">, M. F. </w:t>
      </w:r>
      <w:proofErr w:type="spellStart"/>
      <w:r w:rsidRPr="00281BA0">
        <w:rPr>
          <w:lang w:val="fr-FR"/>
        </w:rPr>
        <w:t>Crisafulli</w:t>
      </w:r>
      <w:proofErr w:type="spellEnd"/>
      <w:r w:rsidRPr="00281BA0">
        <w:rPr>
          <w:lang w:val="fr-FR"/>
        </w:rPr>
        <w:t>.</w:t>
      </w:r>
    </w:p>
    <w:p w:rsidR="006F453D" w:rsidRPr="0072720E" w:rsidRDefault="006F453D" w:rsidP="00BA19BF">
      <w:pPr>
        <w:pStyle w:val="ECHRHeading2"/>
        <w:rPr>
          <w:lang w:val="fr-FR"/>
        </w:rPr>
      </w:pPr>
      <w:r w:rsidRPr="0072720E">
        <w:rPr>
          <w:lang w:val="fr-FR"/>
        </w:rPr>
        <w:lastRenderedPageBreak/>
        <w:t>A.  Les circonstances de l</w:t>
      </w:r>
      <w:r w:rsidR="00F21895">
        <w:rPr>
          <w:lang w:val="fr-FR"/>
        </w:rPr>
        <w:t>’</w:t>
      </w:r>
      <w:r w:rsidRPr="0072720E">
        <w:rPr>
          <w:lang w:val="fr-FR"/>
        </w:rPr>
        <w:t>espèce</w:t>
      </w:r>
    </w:p>
    <w:p w:rsidR="006F453D" w:rsidRPr="00281BA0" w:rsidRDefault="006F453D" w:rsidP="00BA19BF">
      <w:pPr>
        <w:pStyle w:val="ECHRPara"/>
        <w:rPr>
          <w:lang w:val="fr-FR"/>
        </w:rPr>
      </w:pPr>
      <w:r>
        <w:rPr>
          <w:lang w:val="fr-FR"/>
        </w:rPr>
        <w:t>3.  </w:t>
      </w:r>
      <w:r w:rsidRPr="00281BA0">
        <w:rPr>
          <w:lang w:val="fr-FR"/>
        </w:rPr>
        <w:t>Les faits de la cause, tels qu</w:t>
      </w:r>
      <w:r w:rsidR="00F21895">
        <w:rPr>
          <w:lang w:val="fr-FR"/>
        </w:rPr>
        <w:t>’</w:t>
      </w:r>
      <w:r w:rsidRPr="00281BA0">
        <w:rPr>
          <w:lang w:val="fr-FR"/>
        </w:rPr>
        <w:t>ils ont été exposés par les parties, peuvent se résumer comme suit.</w:t>
      </w:r>
    </w:p>
    <w:p w:rsidR="006F453D" w:rsidRDefault="006F453D" w:rsidP="00BA19BF">
      <w:pPr>
        <w:pStyle w:val="ECHRHeading3"/>
        <w:rPr>
          <w:rFonts w:eastAsiaTheme="minorHAnsi"/>
          <w:lang w:val="fr-FR"/>
        </w:rPr>
      </w:pPr>
      <w:r w:rsidRPr="00C210E3">
        <w:rPr>
          <w:rFonts w:eastAsiaTheme="minorHAnsi"/>
          <w:lang w:val="fr-FR"/>
        </w:rPr>
        <w:t>1.  Les poursuites pénales</w:t>
      </w:r>
    </w:p>
    <w:p w:rsidR="006F453D" w:rsidRPr="00C210E3" w:rsidRDefault="006F453D" w:rsidP="00BA19BF">
      <w:pPr>
        <w:pStyle w:val="ECHRPara"/>
        <w:rPr>
          <w:rFonts w:eastAsiaTheme="minorHAnsi"/>
          <w:lang w:val="fr-FR"/>
        </w:rPr>
      </w:pPr>
      <w:r>
        <w:rPr>
          <w:rFonts w:eastAsiaTheme="minorHAnsi"/>
          <w:lang w:val="fr-FR"/>
        </w:rPr>
        <w:t>4.  </w:t>
      </w:r>
      <w:r w:rsidRPr="00C210E3">
        <w:rPr>
          <w:rFonts w:eastAsiaTheme="minorHAnsi"/>
          <w:lang w:val="fr-FR"/>
        </w:rPr>
        <w:t>En détention depuis décembre 1993, le requérant a écopé de lourdes peines dans le cadre d</w:t>
      </w:r>
      <w:r w:rsidR="00F21895">
        <w:rPr>
          <w:rFonts w:eastAsiaTheme="minorHAnsi"/>
          <w:lang w:val="fr-FR"/>
        </w:rPr>
        <w:t>’</w:t>
      </w:r>
      <w:r w:rsidRPr="00C210E3">
        <w:rPr>
          <w:rFonts w:eastAsiaTheme="minorHAnsi"/>
          <w:lang w:val="fr-FR"/>
        </w:rPr>
        <w:t>un nombre important de procédures pénales relatives à des crimes liés à une association de malfaiteurs de type mafieux œuvrant en Sicile et dont il est l</w:t>
      </w:r>
      <w:r w:rsidR="00F21895">
        <w:rPr>
          <w:rFonts w:eastAsiaTheme="minorHAnsi"/>
          <w:lang w:val="fr-FR"/>
        </w:rPr>
        <w:t>’</w:t>
      </w:r>
      <w:r w:rsidRPr="00C210E3">
        <w:rPr>
          <w:rFonts w:eastAsiaTheme="minorHAnsi"/>
          <w:lang w:val="fr-FR"/>
        </w:rPr>
        <w:t>un des chefs. Il est actuellement détenu à Caltanissetta.</w:t>
      </w:r>
    </w:p>
    <w:p w:rsidR="006F453D" w:rsidRPr="00C210E3" w:rsidRDefault="006F453D" w:rsidP="00BA19BF">
      <w:pPr>
        <w:pStyle w:val="ECHRPara"/>
        <w:rPr>
          <w:rFonts w:eastAsiaTheme="minorHAnsi"/>
          <w:lang w:val="fr-FR"/>
        </w:rPr>
      </w:pPr>
      <w:r>
        <w:rPr>
          <w:rFonts w:eastAsiaTheme="minorHAnsi"/>
          <w:lang w:val="fr-FR"/>
        </w:rPr>
        <w:t>5.  </w:t>
      </w:r>
      <w:r w:rsidRPr="00C210E3">
        <w:rPr>
          <w:rFonts w:eastAsiaTheme="minorHAnsi"/>
          <w:lang w:val="fr-FR"/>
        </w:rPr>
        <w:t>Le 25 juillet 2003, le requérant fit l</w:t>
      </w:r>
      <w:r w:rsidR="00F21895">
        <w:rPr>
          <w:rFonts w:eastAsiaTheme="minorHAnsi"/>
          <w:lang w:val="fr-FR"/>
        </w:rPr>
        <w:t>’</w:t>
      </w:r>
      <w:r w:rsidRPr="00C210E3">
        <w:rPr>
          <w:rFonts w:eastAsiaTheme="minorHAnsi"/>
          <w:lang w:val="fr-FR"/>
        </w:rPr>
        <w:t>objet d</w:t>
      </w:r>
      <w:r w:rsidR="00F21895">
        <w:rPr>
          <w:rFonts w:eastAsiaTheme="minorHAnsi"/>
          <w:lang w:val="fr-FR"/>
        </w:rPr>
        <w:t>’</w:t>
      </w:r>
      <w:r w:rsidRPr="00C210E3">
        <w:rPr>
          <w:rFonts w:eastAsiaTheme="minorHAnsi"/>
          <w:lang w:val="fr-FR"/>
        </w:rPr>
        <w:t>une décision de cumul de peines adoptée par le procureur près le tribunal de Gela concernant 24 condamnations définitives (dont plusieurs à perpétuité). La peine principale fut la perpétuité avec une période d</w:t>
      </w:r>
      <w:r w:rsidR="00F21895">
        <w:rPr>
          <w:rFonts w:eastAsiaTheme="minorHAnsi"/>
          <w:lang w:val="fr-FR"/>
        </w:rPr>
        <w:t>’</w:t>
      </w:r>
      <w:r w:rsidRPr="00C210E3">
        <w:rPr>
          <w:rFonts w:eastAsiaTheme="minorHAnsi"/>
          <w:lang w:val="fr-FR"/>
        </w:rPr>
        <w:t>isolement diurne de trois ans.</w:t>
      </w:r>
    </w:p>
    <w:p w:rsidR="006F453D" w:rsidRDefault="006F453D" w:rsidP="00BA19BF">
      <w:pPr>
        <w:pStyle w:val="ECHRPara"/>
        <w:rPr>
          <w:rFonts w:eastAsiaTheme="minorHAnsi"/>
          <w:lang w:val="fr-FR"/>
        </w:rPr>
      </w:pPr>
      <w:r>
        <w:rPr>
          <w:rFonts w:eastAsiaTheme="minorHAnsi"/>
          <w:lang w:val="fr-FR"/>
        </w:rPr>
        <w:t>6.  À</w:t>
      </w:r>
      <w:r w:rsidRPr="00C210E3">
        <w:rPr>
          <w:rFonts w:eastAsiaTheme="minorHAnsi"/>
          <w:lang w:val="fr-FR"/>
        </w:rPr>
        <w:t xml:space="preserve"> la suite de deux autres condamnations définitives à 24 et à 7 ans </w:t>
      </w:r>
      <w:r w:rsidRPr="00495DBE">
        <w:rPr>
          <w:rFonts w:eastAsiaTheme="minorHAnsi"/>
          <w:iCs/>
          <w:lang w:val="fr-FR"/>
        </w:rPr>
        <w:t>intervenues en septembre et en octobre 2003, le même parquet adopta une</w:t>
      </w:r>
      <w:r w:rsidRPr="00C210E3">
        <w:rPr>
          <w:rFonts w:eastAsiaTheme="minorHAnsi"/>
          <w:lang w:val="fr-FR"/>
        </w:rPr>
        <w:t xml:space="preserve"> nouvelle décision de cumul par laquelle la peine principale de la perpétuité absorbait les 31 ans de réclusion supplémentaires.</w:t>
      </w:r>
    </w:p>
    <w:p w:rsidR="006F453D" w:rsidRDefault="006F453D" w:rsidP="008626FD">
      <w:pPr>
        <w:pStyle w:val="ECHRHeading3"/>
        <w:rPr>
          <w:rFonts w:eastAsiaTheme="minorHAnsi"/>
          <w:lang w:val="fr-FR"/>
        </w:rPr>
      </w:pPr>
      <w:r w:rsidRPr="00C210E3">
        <w:rPr>
          <w:rFonts w:eastAsiaTheme="minorHAnsi"/>
          <w:lang w:val="fr-FR"/>
        </w:rPr>
        <w:t>2.  Le régime spécial de détention prévu par l</w:t>
      </w:r>
      <w:r w:rsidR="00F21895">
        <w:rPr>
          <w:rFonts w:eastAsiaTheme="minorHAnsi"/>
          <w:lang w:val="fr-FR"/>
        </w:rPr>
        <w:t>’</w:t>
      </w:r>
      <w:r w:rsidRPr="00C210E3">
        <w:rPr>
          <w:rFonts w:eastAsiaTheme="minorHAnsi"/>
          <w:lang w:val="fr-FR"/>
        </w:rPr>
        <w:t>article 41bis de la loi sur l</w:t>
      </w:r>
      <w:r w:rsidR="00F21895">
        <w:rPr>
          <w:rFonts w:eastAsiaTheme="minorHAnsi"/>
          <w:lang w:val="fr-FR"/>
        </w:rPr>
        <w:t>’</w:t>
      </w:r>
      <w:r w:rsidRPr="00C210E3">
        <w:rPr>
          <w:rFonts w:eastAsiaTheme="minorHAnsi"/>
          <w:lang w:val="fr-FR"/>
        </w:rPr>
        <w:t>administration pénitentiaire</w:t>
      </w:r>
    </w:p>
    <w:p w:rsidR="006F453D" w:rsidRPr="00C210E3" w:rsidRDefault="006F453D" w:rsidP="00BA19BF">
      <w:pPr>
        <w:pStyle w:val="ECHRPara"/>
        <w:rPr>
          <w:rFonts w:eastAsiaTheme="minorHAnsi"/>
          <w:lang w:val="fr-FR"/>
        </w:rPr>
      </w:pPr>
      <w:r>
        <w:rPr>
          <w:rFonts w:eastAsiaTheme="minorHAnsi"/>
          <w:lang w:val="fr-FR"/>
        </w:rPr>
        <w:t>7.  </w:t>
      </w:r>
      <w:r w:rsidRPr="00C210E3">
        <w:rPr>
          <w:rFonts w:eastAsiaTheme="minorHAnsi"/>
          <w:lang w:val="fr-FR"/>
        </w:rPr>
        <w:t xml:space="preserve">Le 30 janvier 1994, le </w:t>
      </w:r>
      <w:r>
        <w:rPr>
          <w:rFonts w:eastAsiaTheme="minorHAnsi"/>
          <w:lang w:val="fr-FR"/>
        </w:rPr>
        <w:t>M</w:t>
      </w:r>
      <w:r w:rsidRPr="00C210E3">
        <w:rPr>
          <w:rFonts w:eastAsiaTheme="minorHAnsi"/>
          <w:lang w:val="fr-FR"/>
        </w:rPr>
        <w:t>inistre de la Justice prit un arrêté imposant au requérant et à 47 autres détenus tous considérés dangereux, pour une période d</w:t>
      </w:r>
      <w:r w:rsidR="00F21895">
        <w:rPr>
          <w:rFonts w:eastAsiaTheme="minorHAnsi"/>
          <w:lang w:val="fr-FR"/>
        </w:rPr>
        <w:t>’</w:t>
      </w:r>
      <w:r w:rsidRPr="00C210E3">
        <w:rPr>
          <w:rFonts w:eastAsiaTheme="minorHAnsi"/>
          <w:lang w:val="fr-FR"/>
        </w:rPr>
        <w:t>une année, le régime de détention spécial prévu par l</w:t>
      </w:r>
      <w:r w:rsidR="00F21895">
        <w:rPr>
          <w:rFonts w:eastAsiaTheme="minorHAnsi"/>
          <w:lang w:val="fr-FR"/>
        </w:rPr>
        <w:t>’</w:t>
      </w:r>
      <w:r w:rsidRPr="00C210E3">
        <w:rPr>
          <w:rFonts w:eastAsiaTheme="minorHAnsi"/>
          <w:lang w:val="fr-FR"/>
        </w:rPr>
        <w:t>article 41</w:t>
      </w:r>
      <w:r w:rsidRPr="007B3A9C">
        <w:rPr>
          <w:rFonts w:eastAsiaTheme="minorHAnsi"/>
          <w:i/>
          <w:lang w:val="fr-FR"/>
        </w:rPr>
        <w:t>bis</w:t>
      </w:r>
      <w:r w:rsidRPr="00C210E3">
        <w:rPr>
          <w:rFonts w:eastAsiaTheme="minorHAnsi"/>
          <w:lang w:val="fr-FR"/>
        </w:rPr>
        <w:t>, alinéa 2, de la loi sur l</w:t>
      </w:r>
      <w:r w:rsidR="00F21895">
        <w:rPr>
          <w:rFonts w:eastAsiaTheme="minorHAnsi"/>
          <w:lang w:val="fr-FR"/>
        </w:rPr>
        <w:t>’</w:t>
      </w:r>
      <w:r w:rsidRPr="00C210E3">
        <w:rPr>
          <w:rFonts w:eastAsiaTheme="minorHAnsi"/>
          <w:lang w:val="fr-FR"/>
        </w:rPr>
        <w:t xml:space="preserve">administration pénitentiaire </w:t>
      </w:r>
      <w:r>
        <w:rPr>
          <w:rFonts w:eastAsiaTheme="minorHAnsi"/>
          <w:lang w:val="fr-FR"/>
        </w:rPr>
        <w:t>–</w:t>
      </w:r>
      <w:r w:rsidRPr="00C210E3">
        <w:rPr>
          <w:rFonts w:eastAsiaTheme="minorHAnsi"/>
          <w:lang w:val="fr-FR"/>
        </w:rPr>
        <w:t xml:space="preserve"> n</w:t>
      </w:r>
      <w:r w:rsidRPr="00644409">
        <w:rPr>
          <w:rFonts w:eastAsiaTheme="minorHAnsi"/>
          <w:vertAlign w:val="superscript"/>
          <w:lang w:val="fr-FR"/>
        </w:rPr>
        <w:t>o</w:t>
      </w:r>
      <w:r>
        <w:rPr>
          <w:rFonts w:eastAsiaTheme="minorHAnsi"/>
          <w:lang w:val="fr-FR"/>
        </w:rPr>
        <w:t xml:space="preserve"> </w:t>
      </w:r>
      <w:r w:rsidRPr="00C210E3">
        <w:rPr>
          <w:rFonts w:eastAsiaTheme="minorHAnsi"/>
          <w:lang w:val="fr-FR"/>
        </w:rPr>
        <w:t>354 du 26 juillet 1975 (« la loi n</w:t>
      </w:r>
      <w:r w:rsidRPr="00644409">
        <w:rPr>
          <w:rFonts w:eastAsiaTheme="minorHAnsi"/>
          <w:vertAlign w:val="superscript"/>
          <w:lang w:val="fr-FR"/>
        </w:rPr>
        <w:t>o</w:t>
      </w:r>
      <w:r w:rsidRPr="00C210E3">
        <w:rPr>
          <w:rFonts w:eastAsiaTheme="minorHAnsi"/>
          <w:lang w:val="fr-FR"/>
        </w:rPr>
        <w:t> 354/1975 »). Modifiée par la loi n</w:t>
      </w:r>
      <w:r w:rsidRPr="00644409">
        <w:rPr>
          <w:rFonts w:eastAsiaTheme="minorHAnsi"/>
          <w:vertAlign w:val="superscript"/>
          <w:lang w:val="fr-FR"/>
        </w:rPr>
        <w:t>o</w:t>
      </w:r>
      <w:r w:rsidRPr="00C210E3">
        <w:rPr>
          <w:rFonts w:eastAsiaTheme="minorHAnsi"/>
          <w:lang w:val="fr-FR"/>
        </w:rPr>
        <w:t>  356 du 7</w:t>
      </w:r>
      <w:r>
        <w:rPr>
          <w:rFonts w:eastAsiaTheme="minorHAnsi"/>
          <w:lang w:val="fr-FR"/>
        </w:rPr>
        <w:t> </w:t>
      </w:r>
      <w:r w:rsidRPr="00F9238C">
        <w:rPr>
          <w:lang w:val="fr-FR"/>
        </w:rPr>
        <w:t>août</w:t>
      </w:r>
      <w:r>
        <w:rPr>
          <w:lang w:val="fr-FR"/>
        </w:rPr>
        <w:t> </w:t>
      </w:r>
      <w:r w:rsidRPr="00F9238C">
        <w:rPr>
          <w:lang w:val="fr-FR"/>
        </w:rPr>
        <w:t>1992</w:t>
      </w:r>
      <w:r w:rsidRPr="00C210E3">
        <w:rPr>
          <w:rFonts w:eastAsiaTheme="minorHAnsi"/>
          <w:lang w:val="fr-FR"/>
        </w:rPr>
        <w:t>, cette disposition permettait la suspension totale ou partielle de l</w:t>
      </w:r>
      <w:r w:rsidR="00F21895">
        <w:rPr>
          <w:rFonts w:eastAsiaTheme="minorHAnsi"/>
          <w:lang w:val="fr-FR"/>
        </w:rPr>
        <w:t>’</w:t>
      </w:r>
      <w:r w:rsidRPr="00C210E3">
        <w:rPr>
          <w:rFonts w:eastAsiaTheme="minorHAnsi"/>
          <w:lang w:val="fr-FR"/>
        </w:rPr>
        <w:t>application du régime normal de détention lorsque des raisons d</w:t>
      </w:r>
      <w:r w:rsidR="00F21895">
        <w:rPr>
          <w:rFonts w:eastAsiaTheme="minorHAnsi"/>
          <w:lang w:val="fr-FR"/>
        </w:rPr>
        <w:t>’</w:t>
      </w:r>
      <w:r w:rsidRPr="00C210E3">
        <w:rPr>
          <w:rFonts w:eastAsiaTheme="minorHAnsi"/>
          <w:lang w:val="fr-FR"/>
        </w:rPr>
        <w:t>ordre et de sécurité publics l</w:t>
      </w:r>
      <w:r w:rsidR="00F21895">
        <w:rPr>
          <w:rFonts w:eastAsiaTheme="minorHAnsi"/>
          <w:lang w:val="fr-FR"/>
        </w:rPr>
        <w:t>’</w:t>
      </w:r>
      <w:r w:rsidRPr="00C210E3">
        <w:rPr>
          <w:rFonts w:eastAsiaTheme="minorHAnsi"/>
          <w:lang w:val="fr-FR"/>
        </w:rPr>
        <w:t>exigeaient.</w:t>
      </w:r>
    </w:p>
    <w:p w:rsidR="006F453D" w:rsidRPr="00C210E3" w:rsidRDefault="006F453D" w:rsidP="00BA19BF">
      <w:pPr>
        <w:pStyle w:val="ECHRPara"/>
        <w:rPr>
          <w:rFonts w:eastAsiaTheme="minorHAnsi"/>
          <w:lang w:val="fr-FR"/>
        </w:rPr>
      </w:pPr>
      <w:r w:rsidRPr="00C210E3">
        <w:rPr>
          <w:rFonts w:eastAsiaTheme="minorHAnsi"/>
          <w:lang w:val="fr-FR"/>
        </w:rPr>
        <w:t>Cet arrêté imposait les restrictions suivantes :</w:t>
      </w:r>
    </w:p>
    <w:p w:rsidR="006F453D" w:rsidRPr="0054092D" w:rsidRDefault="006F453D" w:rsidP="006F453D">
      <w:pPr>
        <w:pStyle w:val="Paragrafoelenco"/>
        <w:numPr>
          <w:ilvl w:val="0"/>
          <w:numId w:val="23"/>
        </w:numPr>
        <w:autoSpaceDE w:val="0"/>
        <w:autoSpaceDN w:val="0"/>
        <w:adjustRightInd w:val="0"/>
        <w:ind w:left="567" w:hanging="283"/>
        <w:rPr>
          <w:rFonts w:ascii="Times New Roman" w:eastAsiaTheme="minorHAnsi" w:hAnsi="Times New Roman" w:cs="Times New Roman"/>
          <w:color w:val="000000"/>
          <w:szCs w:val="24"/>
          <w:lang w:val="fr-FR"/>
        </w:rPr>
      </w:pPr>
      <w:r w:rsidRPr="0054092D">
        <w:rPr>
          <w:rFonts w:ascii="Times New Roman" w:eastAsiaTheme="minorHAnsi" w:hAnsi="Times New Roman" w:cs="Times New Roman"/>
          <w:color w:val="000000"/>
          <w:szCs w:val="24"/>
          <w:lang w:val="fr-FR"/>
        </w:rPr>
        <w:t>interdiction d</w:t>
      </w:r>
      <w:r w:rsidR="00F21895">
        <w:rPr>
          <w:rFonts w:ascii="Times New Roman" w:eastAsiaTheme="minorHAnsi" w:hAnsi="Times New Roman" w:cs="Times New Roman"/>
          <w:color w:val="000000"/>
          <w:szCs w:val="24"/>
          <w:lang w:val="fr-FR"/>
        </w:rPr>
        <w:t>’</w:t>
      </w:r>
      <w:r w:rsidRPr="0054092D">
        <w:rPr>
          <w:rFonts w:ascii="Times New Roman" w:eastAsiaTheme="minorHAnsi" w:hAnsi="Times New Roman" w:cs="Times New Roman"/>
          <w:color w:val="000000"/>
          <w:szCs w:val="24"/>
          <w:lang w:val="fr-FR"/>
        </w:rPr>
        <w:t>utiliser le téléphone ;</w:t>
      </w:r>
    </w:p>
    <w:p w:rsidR="006F453D" w:rsidRPr="00C210E3" w:rsidRDefault="006F453D" w:rsidP="006F453D">
      <w:pPr>
        <w:pStyle w:val="Paragrafoelenco"/>
        <w:numPr>
          <w:ilvl w:val="0"/>
          <w:numId w:val="23"/>
        </w:numPr>
        <w:autoSpaceDE w:val="0"/>
        <w:autoSpaceDN w:val="0"/>
        <w:adjustRightInd w:val="0"/>
        <w:ind w:left="567" w:hanging="283"/>
        <w:rPr>
          <w:rFonts w:ascii="Times New Roman" w:eastAsiaTheme="minorHAnsi" w:hAnsi="Times New Roman" w:cs="Times New Roman"/>
          <w:color w:val="000000"/>
          <w:szCs w:val="24"/>
          <w:lang w:val="fr-FR"/>
        </w:rPr>
      </w:pPr>
      <w:r w:rsidRPr="00C210E3">
        <w:rPr>
          <w:rFonts w:ascii="Times New Roman" w:eastAsiaTheme="minorHAnsi" w:hAnsi="Times New Roman" w:cs="Times New Roman"/>
          <w:color w:val="000000"/>
          <w:szCs w:val="24"/>
          <w:lang w:val="fr-FR"/>
        </w:rPr>
        <w:t>interdiction de correspondre avec un autre détenu ou interné (même</w:t>
      </w:r>
      <w:r>
        <w:rPr>
          <w:rFonts w:ascii="Times New Roman" w:eastAsiaTheme="minorHAnsi" w:hAnsi="Times New Roman" w:cs="Times New Roman"/>
          <w:color w:val="000000"/>
          <w:szCs w:val="24"/>
          <w:lang w:val="fr-FR"/>
        </w:rPr>
        <w:t> </w:t>
      </w:r>
      <w:r w:rsidRPr="00C210E3">
        <w:rPr>
          <w:rFonts w:ascii="Times New Roman" w:eastAsiaTheme="minorHAnsi" w:hAnsi="Times New Roman" w:cs="Times New Roman"/>
          <w:color w:val="000000"/>
          <w:szCs w:val="24"/>
          <w:lang w:val="fr-FR"/>
        </w:rPr>
        <w:t>s</w:t>
      </w:r>
      <w:r w:rsidR="00F21895">
        <w:rPr>
          <w:rFonts w:ascii="Times New Roman" w:eastAsiaTheme="minorHAnsi" w:hAnsi="Times New Roman" w:cs="Times New Roman"/>
          <w:color w:val="000000"/>
          <w:szCs w:val="24"/>
          <w:lang w:val="fr-FR"/>
        </w:rPr>
        <w:t>’</w:t>
      </w:r>
      <w:r w:rsidRPr="00C210E3">
        <w:rPr>
          <w:rFonts w:ascii="Times New Roman" w:eastAsiaTheme="minorHAnsi" w:hAnsi="Times New Roman" w:cs="Times New Roman"/>
          <w:color w:val="000000"/>
          <w:szCs w:val="24"/>
          <w:lang w:val="fr-FR"/>
        </w:rPr>
        <w:t>il s</w:t>
      </w:r>
      <w:r w:rsidR="00F21895">
        <w:rPr>
          <w:rFonts w:ascii="Times New Roman" w:eastAsiaTheme="minorHAnsi" w:hAnsi="Times New Roman" w:cs="Times New Roman"/>
          <w:color w:val="000000"/>
          <w:szCs w:val="24"/>
          <w:lang w:val="fr-FR"/>
        </w:rPr>
        <w:t>’</w:t>
      </w:r>
      <w:r w:rsidRPr="00C210E3">
        <w:rPr>
          <w:rFonts w:ascii="Times New Roman" w:eastAsiaTheme="minorHAnsi" w:hAnsi="Times New Roman" w:cs="Times New Roman"/>
          <w:color w:val="000000"/>
          <w:szCs w:val="24"/>
          <w:lang w:val="fr-FR"/>
        </w:rPr>
        <w:t>agissait d</w:t>
      </w:r>
      <w:r w:rsidR="00F21895">
        <w:rPr>
          <w:rFonts w:ascii="Times New Roman" w:eastAsiaTheme="minorHAnsi" w:hAnsi="Times New Roman" w:cs="Times New Roman"/>
          <w:color w:val="000000"/>
          <w:szCs w:val="24"/>
          <w:lang w:val="fr-FR"/>
        </w:rPr>
        <w:t>’</w:t>
      </w:r>
      <w:r w:rsidRPr="00C210E3">
        <w:rPr>
          <w:rFonts w:ascii="Times New Roman" w:eastAsiaTheme="minorHAnsi" w:hAnsi="Times New Roman" w:cs="Times New Roman"/>
          <w:color w:val="000000"/>
          <w:szCs w:val="24"/>
          <w:lang w:val="fr-FR"/>
        </w:rPr>
        <w:t>un conjoint ou d</w:t>
      </w:r>
      <w:r w:rsidR="00F21895">
        <w:rPr>
          <w:rFonts w:ascii="Times New Roman" w:eastAsiaTheme="minorHAnsi" w:hAnsi="Times New Roman" w:cs="Times New Roman"/>
          <w:color w:val="000000"/>
          <w:szCs w:val="24"/>
          <w:lang w:val="fr-FR"/>
        </w:rPr>
        <w:t>’</w:t>
      </w:r>
      <w:r w:rsidRPr="00C210E3">
        <w:rPr>
          <w:rFonts w:ascii="Times New Roman" w:eastAsiaTheme="minorHAnsi" w:hAnsi="Times New Roman" w:cs="Times New Roman"/>
          <w:color w:val="000000"/>
          <w:szCs w:val="24"/>
          <w:lang w:val="fr-FR"/>
        </w:rPr>
        <w:t>un concubin ou d</w:t>
      </w:r>
      <w:r w:rsidR="00F21895">
        <w:rPr>
          <w:rFonts w:ascii="Times New Roman" w:eastAsiaTheme="minorHAnsi" w:hAnsi="Times New Roman" w:cs="Times New Roman"/>
          <w:color w:val="000000"/>
          <w:szCs w:val="24"/>
          <w:lang w:val="fr-FR"/>
        </w:rPr>
        <w:t>’</w:t>
      </w:r>
      <w:r w:rsidRPr="00C210E3">
        <w:rPr>
          <w:rFonts w:ascii="Times New Roman" w:eastAsiaTheme="minorHAnsi" w:hAnsi="Times New Roman" w:cs="Times New Roman"/>
          <w:color w:val="000000"/>
          <w:szCs w:val="24"/>
          <w:lang w:val="fr-FR"/>
        </w:rPr>
        <w:t>une concubine) ;</w:t>
      </w:r>
    </w:p>
    <w:p w:rsidR="006F453D" w:rsidRPr="00C210E3" w:rsidRDefault="006F453D" w:rsidP="006F453D">
      <w:pPr>
        <w:pStyle w:val="Paragrafoelenco"/>
        <w:numPr>
          <w:ilvl w:val="0"/>
          <w:numId w:val="23"/>
        </w:numPr>
        <w:autoSpaceDE w:val="0"/>
        <w:autoSpaceDN w:val="0"/>
        <w:adjustRightInd w:val="0"/>
        <w:ind w:left="567" w:hanging="283"/>
        <w:rPr>
          <w:rFonts w:ascii="Times New Roman" w:eastAsiaTheme="minorHAnsi" w:hAnsi="Times New Roman" w:cs="Times New Roman"/>
          <w:color w:val="000000"/>
          <w:szCs w:val="24"/>
          <w:lang w:val="fr-FR"/>
        </w:rPr>
      </w:pPr>
      <w:r w:rsidRPr="00C210E3">
        <w:rPr>
          <w:rFonts w:ascii="Times New Roman" w:eastAsiaTheme="minorHAnsi" w:hAnsi="Times New Roman" w:cs="Times New Roman"/>
          <w:color w:val="000000"/>
          <w:szCs w:val="24"/>
          <w:lang w:val="fr-FR"/>
        </w:rPr>
        <w:t>interdiction d</w:t>
      </w:r>
      <w:r w:rsidR="00F21895">
        <w:rPr>
          <w:rFonts w:ascii="Times New Roman" w:eastAsiaTheme="minorHAnsi" w:hAnsi="Times New Roman" w:cs="Times New Roman"/>
          <w:color w:val="000000"/>
          <w:szCs w:val="24"/>
          <w:lang w:val="fr-FR"/>
        </w:rPr>
        <w:t>’</w:t>
      </w:r>
      <w:r w:rsidRPr="00C210E3">
        <w:rPr>
          <w:rFonts w:ascii="Times New Roman" w:eastAsiaTheme="minorHAnsi" w:hAnsi="Times New Roman" w:cs="Times New Roman"/>
          <w:color w:val="000000"/>
          <w:szCs w:val="24"/>
          <w:lang w:val="fr-FR"/>
        </w:rPr>
        <w:t>entretiens avec des tiers ;</w:t>
      </w:r>
    </w:p>
    <w:p w:rsidR="006F453D" w:rsidRPr="00C210E3" w:rsidRDefault="006F453D" w:rsidP="006F453D">
      <w:pPr>
        <w:pStyle w:val="Paragrafoelenco"/>
        <w:numPr>
          <w:ilvl w:val="0"/>
          <w:numId w:val="23"/>
        </w:numPr>
        <w:autoSpaceDE w:val="0"/>
        <w:autoSpaceDN w:val="0"/>
        <w:adjustRightInd w:val="0"/>
        <w:ind w:left="567" w:hanging="283"/>
        <w:rPr>
          <w:rFonts w:ascii="Times New Roman" w:eastAsiaTheme="minorHAnsi" w:hAnsi="Times New Roman" w:cs="Times New Roman"/>
          <w:color w:val="000000"/>
          <w:szCs w:val="24"/>
          <w:lang w:val="fr-FR"/>
        </w:rPr>
      </w:pPr>
      <w:r w:rsidRPr="00C210E3">
        <w:rPr>
          <w:rFonts w:ascii="Times New Roman" w:eastAsiaTheme="minorHAnsi" w:hAnsi="Times New Roman" w:cs="Times New Roman"/>
          <w:color w:val="000000"/>
          <w:szCs w:val="24"/>
          <w:lang w:val="fr-FR"/>
        </w:rPr>
        <w:t>limitation des visites des membres de la famille (au maximum une par mois pendant une heure) ;</w:t>
      </w:r>
    </w:p>
    <w:p w:rsidR="006F453D" w:rsidRPr="00C210E3" w:rsidRDefault="006F453D" w:rsidP="006F453D">
      <w:pPr>
        <w:pStyle w:val="Paragrafoelenco"/>
        <w:numPr>
          <w:ilvl w:val="0"/>
          <w:numId w:val="23"/>
        </w:numPr>
        <w:autoSpaceDE w:val="0"/>
        <w:autoSpaceDN w:val="0"/>
        <w:adjustRightInd w:val="0"/>
        <w:ind w:left="567" w:hanging="283"/>
        <w:rPr>
          <w:rFonts w:ascii="Times New Roman" w:eastAsiaTheme="minorHAnsi" w:hAnsi="Times New Roman" w:cs="Times New Roman"/>
          <w:color w:val="000000"/>
          <w:szCs w:val="24"/>
          <w:lang w:val="fr-FR"/>
        </w:rPr>
      </w:pPr>
      <w:r w:rsidRPr="00C210E3">
        <w:rPr>
          <w:rFonts w:ascii="Times New Roman" w:eastAsiaTheme="minorHAnsi" w:hAnsi="Times New Roman" w:cs="Times New Roman"/>
          <w:color w:val="000000"/>
          <w:szCs w:val="24"/>
          <w:lang w:val="fr-FR"/>
        </w:rPr>
        <w:t>interdiction de recevoir des sommes d</w:t>
      </w:r>
      <w:r w:rsidR="00F21895">
        <w:rPr>
          <w:rFonts w:ascii="Times New Roman" w:eastAsiaTheme="minorHAnsi" w:hAnsi="Times New Roman" w:cs="Times New Roman"/>
          <w:color w:val="000000"/>
          <w:szCs w:val="24"/>
          <w:lang w:val="fr-FR"/>
        </w:rPr>
        <w:t>’</w:t>
      </w:r>
      <w:r w:rsidRPr="00C210E3">
        <w:rPr>
          <w:rFonts w:ascii="Times New Roman" w:eastAsiaTheme="minorHAnsi" w:hAnsi="Times New Roman" w:cs="Times New Roman"/>
          <w:color w:val="000000"/>
          <w:szCs w:val="24"/>
          <w:lang w:val="fr-FR"/>
        </w:rPr>
        <w:t>argent au-delà d</w:t>
      </w:r>
      <w:r w:rsidR="00F21895">
        <w:rPr>
          <w:rFonts w:ascii="Times New Roman" w:eastAsiaTheme="minorHAnsi" w:hAnsi="Times New Roman" w:cs="Times New Roman"/>
          <w:color w:val="000000"/>
          <w:szCs w:val="24"/>
          <w:lang w:val="fr-FR"/>
        </w:rPr>
        <w:t>’</w:t>
      </w:r>
      <w:r w:rsidRPr="00C210E3">
        <w:rPr>
          <w:rFonts w:ascii="Times New Roman" w:eastAsiaTheme="minorHAnsi" w:hAnsi="Times New Roman" w:cs="Times New Roman"/>
          <w:color w:val="000000"/>
          <w:szCs w:val="24"/>
          <w:lang w:val="fr-FR"/>
        </w:rPr>
        <w:t>un montant mensuel déterminé ;</w:t>
      </w:r>
    </w:p>
    <w:p w:rsidR="006F453D" w:rsidRPr="00C210E3" w:rsidRDefault="006F453D" w:rsidP="006F453D">
      <w:pPr>
        <w:pStyle w:val="Paragrafoelenco"/>
        <w:numPr>
          <w:ilvl w:val="0"/>
          <w:numId w:val="23"/>
        </w:numPr>
        <w:autoSpaceDE w:val="0"/>
        <w:autoSpaceDN w:val="0"/>
        <w:adjustRightInd w:val="0"/>
        <w:ind w:left="567" w:hanging="283"/>
        <w:rPr>
          <w:rFonts w:ascii="Times New Roman" w:eastAsiaTheme="minorHAnsi" w:hAnsi="Times New Roman" w:cs="Times New Roman"/>
          <w:color w:val="000000"/>
          <w:szCs w:val="24"/>
          <w:lang w:val="fr-FR"/>
        </w:rPr>
      </w:pPr>
      <w:r w:rsidRPr="00C210E3">
        <w:rPr>
          <w:rFonts w:ascii="Times New Roman" w:eastAsiaTheme="minorHAnsi" w:hAnsi="Times New Roman" w:cs="Times New Roman"/>
          <w:color w:val="000000"/>
          <w:szCs w:val="24"/>
          <w:lang w:val="fr-FR"/>
        </w:rPr>
        <w:t>interdiction de recevoir de l</w:t>
      </w:r>
      <w:r w:rsidR="00F21895">
        <w:rPr>
          <w:rFonts w:ascii="Times New Roman" w:eastAsiaTheme="minorHAnsi" w:hAnsi="Times New Roman" w:cs="Times New Roman"/>
          <w:color w:val="000000"/>
          <w:szCs w:val="24"/>
          <w:lang w:val="fr-FR"/>
        </w:rPr>
        <w:t>’</w:t>
      </w:r>
      <w:r w:rsidRPr="00C210E3">
        <w:rPr>
          <w:rFonts w:ascii="Times New Roman" w:eastAsiaTheme="minorHAnsi" w:hAnsi="Times New Roman" w:cs="Times New Roman"/>
          <w:color w:val="000000"/>
          <w:szCs w:val="24"/>
          <w:lang w:val="fr-FR"/>
        </w:rPr>
        <w:t>extérieur plus d</w:t>
      </w:r>
      <w:r w:rsidR="00F21895">
        <w:rPr>
          <w:rFonts w:ascii="Times New Roman" w:eastAsiaTheme="minorHAnsi" w:hAnsi="Times New Roman" w:cs="Times New Roman"/>
          <w:color w:val="000000"/>
          <w:szCs w:val="24"/>
          <w:lang w:val="fr-FR"/>
        </w:rPr>
        <w:t>’</w:t>
      </w:r>
      <w:r w:rsidRPr="00C210E3">
        <w:rPr>
          <w:rFonts w:ascii="Times New Roman" w:eastAsiaTheme="minorHAnsi" w:hAnsi="Times New Roman" w:cs="Times New Roman"/>
          <w:color w:val="000000"/>
          <w:szCs w:val="24"/>
          <w:lang w:val="fr-FR"/>
        </w:rPr>
        <w:t>un colis mensuel d</w:t>
      </w:r>
      <w:r w:rsidR="00F21895">
        <w:rPr>
          <w:rFonts w:ascii="Times New Roman" w:eastAsiaTheme="minorHAnsi" w:hAnsi="Times New Roman" w:cs="Times New Roman"/>
          <w:color w:val="000000"/>
          <w:szCs w:val="24"/>
          <w:lang w:val="fr-FR"/>
        </w:rPr>
        <w:t>’</w:t>
      </w:r>
      <w:r w:rsidRPr="00C210E3">
        <w:rPr>
          <w:rFonts w:ascii="Times New Roman" w:eastAsiaTheme="minorHAnsi" w:hAnsi="Times New Roman" w:cs="Times New Roman"/>
          <w:color w:val="000000"/>
          <w:szCs w:val="24"/>
          <w:lang w:val="fr-FR"/>
        </w:rPr>
        <w:t>un poids déterminé contenant d</w:t>
      </w:r>
      <w:r>
        <w:rPr>
          <w:rFonts w:ascii="Times New Roman" w:eastAsiaTheme="minorHAnsi" w:hAnsi="Times New Roman" w:cs="Times New Roman"/>
          <w:color w:val="000000"/>
          <w:szCs w:val="24"/>
          <w:lang w:val="fr-FR"/>
        </w:rPr>
        <w:t xml:space="preserve">u linge et des vêtements </w:t>
      </w:r>
      <w:r w:rsidRPr="00C210E3">
        <w:rPr>
          <w:rFonts w:ascii="Times New Roman" w:eastAsiaTheme="minorHAnsi" w:hAnsi="Times New Roman" w:cs="Times New Roman"/>
          <w:color w:val="000000"/>
          <w:szCs w:val="24"/>
          <w:lang w:val="fr-FR"/>
        </w:rPr>
        <w:t>et interdiction de recevoir de colis contenant autre chose ;</w:t>
      </w:r>
    </w:p>
    <w:p w:rsidR="006F453D" w:rsidRPr="00C210E3" w:rsidRDefault="006F453D" w:rsidP="006F453D">
      <w:pPr>
        <w:pStyle w:val="Paragrafoelenco"/>
        <w:numPr>
          <w:ilvl w:val="0"/>
          <w:numId w:val="23"/>
        </w:numPr>
        <w:autoSpaceDE w:val="0"/>
        <w:autoSpaceDN w:val="0"/>
        <w:adjustRightInd w:val="0"/>
        <w:ind w:left="567" w:hanging="283"/>
        <w:rPr>
          <w:rFonts w:ascii="Times New Roman" w:eastAsiaTheme="minorHAnsi" w:hAnsi="Times New Roman" w:cs="Times New Roman"/>
          <w:color w:val="000000"/>
          <w:szCs w:val="24"/>
          <w:lang w:val="fr-FR"/>
        </w:rPr>
      </w:pPr>
      <w:r w:rsidRPr="00C210E3">
        <w:rPr>
          <w:rFonts w:ascii="Times New Roman" w:eastAsiaTheme="minorHAnsi" w:hAnsi="Times New Roman" w:cs="Times New Roman"/>
          <w:color w:val="000000"/>
          <w:szCs w:val="24"/>
          <w:lang w:val="fr-FR"/>
        </w:rPr>
        <w:lastRenderedPageBreak/>
        <w:t>interdiction d</w:t>
      </w:r>
      <w:r w:rsidR="00F21895">
        <w:rPr>
          <w:rFonts w:ascii="Times New Roman" w:eastAsiaTheme="minorHAnsi" w:hAnsi="Times New Roman" w:cs="Times New Roman"/>
          <w:color w:val="000000"/>
          <w:szCs w:val="24"/>
          <w:lang w:val="fr-FR"/>
        </w:rPr>
        <w:t>’</w:t>
      </w:r>
      <w:r w:rsidRPr="00C210E3">
        <w:rPr>
          <w:rFonts w:ascii="Times New Roman" w:eastAsiaTheme="minorHAnsi" w:hAnsi="Times New Roman" w:cs="Times New Roman"/>
          <w:color w:val="000000"/>
          <w:szCs w:val="24"/>
          <w:lang w:val="fr-FR"/>
        </w:rPr>
        <w:t>organiser des activités culturelles, récréatives et sportives ;</w:t>
      </w:r>
    </w:p>
    <w:p w:rsidR="006F453D" w:rsidRPr="00C210E3" w:rsidRDefault="006F453D" w:rsidP="006F453D">
      <w:pPr>
        <w:pStyle w:val="Paragrafoelenco"/>
        <w:numPr>
          <w:ilvl w:val="0"/>
          <w:numId w:val="23"/>
        </w:numPr>
        <w:autoSpaceDE w:val="0"/>
        <w:autoSpaceDN w:val="0"/>
        <w:adjustRightInd w:val="0"/>
        <w:ind w:left="567" w:hanging="283"/>
        <w:rPr>
          <w:rFonts w:ascii="Times New Roman" w:eastAsiaTheme="minorHAnsi" w:hAnsi="Times New Roman" w:cs="Times New Roman"/>
          <w:color w:val="000000"/>
          <w:szCs w:val="24"/>
          <w:lang w:val="fr-FR"/>
        </w:rPr>
      </w:pPr>
      <w:r w:rsidRPr="00C210E3">
        <w:rPr>
          <w:rFonts w:ascii="Times New Roman" w:eastAsiaTheme="minorHAnsi" w:hAnsi="Times New Roman" w:cs="Times New Roman"/>
          <w:color w:val="000000"/>
          <w:szCs w:val="24"/>
          <w:lang w:val="fr-FR"/>
        </w:rPr>
        <w:t>interdiction d</w:t>
      </w:r>
      <w:r w:rsidR="00F21895">
        <w:rPr>
          <w:rFonts w:ascii="Times New Roman" w:eastAsiaTheme="minorHAnsi" w:hAnsi="Times New Roman" w:cs="Times New Roman"/>
          <w:color w:val="000000"/>
          <w:szCs w:val="24"/>
          <w:lang w:val="fr-FR"/>
        </w:rPr>
        <w:t>’</w:t>
      </w:r>
      <w:r w:rsidRPr="00C210E3">
        <w:rPr>
          <w:rFonts w:ascii="Times New Roman" w:eastAsiaTheme="minorHAnsi" w:hAnsi="Times New Roman" w:cs="Times New Roman"/>
          <w:color w:val="000000"/>
          <w:szCs w:val="24"/>
          <w:lang w:val="fr-FR"/>
        </w:rPr>
        <w:t>élire un représentant des détenus et d</w:t>
      </w:r>
      <w:r w:rsidR="00F21895">
        <w:rPr>
          <w:rFonts w:ascii="Times New Roman" w:eastAsiaTheme="minorHAnsi" w:hAnsi="Times New Roman" w:cs="Times New Roman"/>
          <w:color w:val="000000"/>
          <w:szCs w:val="24"/>
          <w:lang w:val="fr-FR"/>
        </w:rPr>
        <w:t>’</w:t>
      </w:r>
      <w:r w:rsidRPr="00C210E3">
        <w:rPr>
          <w:rFonts w:ascii="Times New Roman" w:eastAsiaTheme="minorHAnsi" w:hAnsi="Times New Roman" w:cs="Times New Roman"/>
          <w:color w:val="000000"/>
          <w:szCs w:val="24"/>
          <w:lang w:val="fr-FR"/>
        </w:rPr>
        <w:t>être élu comme représentant ;</w:t>
      </w:r>
    </w:p>
    <w:p w:rsidR="006F453D" w:rsidRPr="00C210E3" w:rsidRDefault="006F453D" w:rsidP="006F453D">
      <w:pPr>
        <w:pStyle w:val="Paragrafoelenco"/>
        <w:numPr>
          <w:ilvl w:val="0"/>
          <w:numId w:val="23"/>
        </w:numPr>
        <w:autoSpaceDE w:val="0"/>
        <w:autoSpaceDN w:val="0"/>
        <w:adjustRightInd w:val="0"/>
        <w:ind w:left="567" w:hanging="283"/>
        <w:rPr>
          <w:rFonts w:ascii="Times New Roman" w:eastAsiaTheme="minorHAnsi" w:hAnsi="Times New Roman" w:cs="Times New Roman"/>
          <w:color w:val="000000"/>
          <w:szCs w:val="24"/>
          <w:lang w:val="fr-FR"/>
        </w:rPr>
      </w:pPr>
      <w:r w:rsidRPr="00C210E3">
        <w:rPr>
          <w:rFonts w:ascii="Times New Roman" w:eastAsiaTheme="minorHAnsi" w:hAnsi="Times New Roman" w:cs="Times New Roman"/>
          <w:color w:val="000000"/>
          <w:szCs w:val="24"/>
          <w:lang w:val="fr-FR"/>
        </w:rPr>
        <w:t>interdiction d</w:t>
      </w:r>
      <w:r w:rsidR="00F21895">
        <w:rPr>
          <w:rFonts w:ascii="Times New Roman" w:eastAsiaTheme="minorHAnsi" w:hAnsi="Times New Roman" w:cs="Times New Roman"/>
          <w:color w:val="000000"/>
          <w:szCs w:val="24"/>
          <w:lang w:val="fr-FR"/>
        </w:rPr>
        <w:t>’</w:t>
      </w:r>
      <w:r w:rsidRPr="00C210E3">
        <w:rPr>
          <w:rFonts w:ascii="Times New Roman" w:eastAsiaTheme="minorHAnsi" w:hAnsi="Times New Roman" w:cs="Times New Roman"/>
          <w:color w:val="000000"/>
          <w:szCs w:val="24"/>
          <w:lang w:val="fr-FR"/>
        </w:rPr>
        <w:t>exercer des activités artisanales ;</w:t>
      </w:r>
    </w:p>
    <w:p w:rsidR="006F453D" w:rsidRDefault="006F453D" w:rsidP="006F453D">
      <w:pPr>
        <w:pStyle w:val="Paragrafoelenco"/>
        <w:numPr>
          <w:ilvl w:val="0"/>
          <w:numId w:val="23"/>
        </w:numPr>
        <w:autoSpaceDE w:val="0"/>
        <w:autoSpaceDN w:val="0"/>
        <w:adjustRightInd w:val="0"/>
        <w:ind w:left="567" w:hanging="283"/>
        <w:rPr>
          <w:rFonts w:ascii="Times New Roman" w:eastAsiaTheme="minorHAnsi" w:hAnsi="Times New Roman" w:cs="Times New Roman"/>
          <w:color w:val="000000"/>
          <w:szCs w:val="24"/>
          <w:lang w:val="fr-FR"/>
        </w:rPr>
      </w:pPr>
      <w:r w:rsidRPr="00C210E3">
        <w:rPr>
          <w:rFonts w:ascii="Times New Roman" w:eastAsiaTheme="minorHAnsi" w:hAnsi="Times New Roman" w:cs="Times New Roman"/>
          <w:color w:val="000000"/>
          <w:szCs w:val="24"/>
          <w:lang w:val="fr-FR"/>
        </w:rPr>
        <w:t>interdiction d</w:t>
      </w:r>
      <w:r w:rsidR="00F21895">
        <w:rPr>
          <w:rFonts w:ascii="Times New Roman" w:eastAsiaTheme="minorHAnsi" w:hAnsi="Times New Roman" w:cs="Times New Roman"/>
          <w:color w:val="000000"/>
          <w:szCs w:val="24"/>
          <w:lang w:val="fr-FR"/>
        </w:rPr>
        <w:t>’</w:t>
      </w:r>
      <w:r w:rsidRPr="00C210E3">
        <w:rPr>
          <w:rFonts w:ascii="Times New Roman" w:eastAsiaTheme="minorHAnsi" w:hAnsi="Times New Roman" w:cs="Times New Roman"/>
          <w:color w:val="000000"/>
          <w:szCs w:val="24"/>
          <w:lang w:val="fr-FR"/>
        </w:rPr>
        <w:t>acheter des aliments qui requièrent une cuisson ;</w:t>
      </w:r>
    </w:p>
    <w:p w:rsidR="006F453D" w:rsidRPr="00C210E3" w:rsidRDefault="006F453D" w:rsidP="00BA19BF">
      <w:pPr>
        <w:pStyle w:val="Paragrafoelenco"/>
        <w:autoSpaceDE w:val="0"/>
        <w:autoSpaceDN w:val="0"/>
        <w:adjustRightInd w:val="0"/>
        <w:ind w:left="567"/>
        <w:rPr>
          <w:rFonts w:ascii="Times New Roman" w:eastAsiaTheme="minorHAnsi" w:hAnsi="Times New Roman" w:cs="Times New Roman"/>
          <w:color w:val="000000"/>
          <w:szCs w:val="24"/>
          <w:lang w:val="fr-FR"/>
        </w:rPr>
      </w:pPr>
      <w:proofErr w:type="gramStart"/>
      <w:r w:rsidRPr="00C210E3">
        <w:rPr>
          <w:rFonts w:ascii="Times New Roman" w:eastAsiaTheme="minorHAnsi" w:hAnsi="Times New Roman" w:cs="Times New Roman"/>
          <w:color w:val="000000"/>
          <w:szCs w:val="24"/>
          <w:lang w:val="fr-FR"/>
        </w:rPr>
        <w:t>et</w:t>
      </w:r>
      <w:proofErr w:type="gramEnd"/>
    </w:p>
    <w:p w:rsidR="006F453D" w:rsidRDefault="006F453D" w:rsidP="006F453D">
      <w:pPr>
        <w:pStyle w:val="Paragrafoelenco"/>
        <w:numPr>
          <w:ilvl w:val="0"/>
          <w:numId w:val="23"/>
        </w:numPr>
        <w:autoSpaceDE w:val="0"/>
        <w:autoSpaceDN w:val="0"/>
        <w:adjustRightInd w:val="0"/>
        <w:ind w:left="567" w:hanging="283"/>
        <w:rPr>
          <w:rFonts w:ascii="Times New Roman" w:eastAsiaTheme="minorHAnsi" w:hAnsi="Times New Roman" w:cs="Times New Roman"/>
          <w:color w:val="000000"/>
          <w:szCs w:val="24"/>
          <w:lang w:val="fr-FR"/>
        </w:rPr>
      </w:pPr>
      <w:r w:rsidRPr="00C210E3">
        <w:rPr>
          <w:rFonts w:ascii="Times New Roman" w:eastAsiaTheme="minorHAnsi" w:hAnsi="Times New Roman" w:cs="Times New Roman"/>
          <w:color w:val="000000"/>
          <w:szCs w:val="24"/>
          <w:lang w:val="fr-FR"/>
        </w:rPr>
        <w:t>interdiction de promenades supérieures à deux heures.</w:t>
      </w:r>
    </w:p>
    <w:p w:rsidR="006F453D" w:rsidRDefault="006F453D" w:rsidP="00BA19BF">
      <w:pPr>
        <w:pStyle w:val="ECHRPara"/>
        <w:rPr>
          <w:rFonts w:eastAsiaTheme="minorHAnsi"/>
          <w:lang w:val="fr-FR"/>
        </w:rPr>
      </w:pPr>
      <w:r w:rsidRPr="00C210E3">
        <w:rPr>
          <w:rFonts w:eastAsiaTheme="minorHAnsi"/>
          <w:lang w:val="fr-FR"/>
        </w:rPr>
        <w:t>En outre, toute la correspondance en entrée et en sortie devait être soumise à contrôle sur autorisation préalable des autorités judiciaires compétentes.</w:t>
      </w:r>
    </w:p>
    <w:p w:rsidR="006F453D" w:rsidRPr="006406DF" w:rsidRDefault="006F453D" w:rsidP="00BA19BF">
      <w:pPr>
        <w:pStyle w:val="ECHRPara"/>
        <w:rPr>
          <w:lang w:val="fr-FR"/>
        </w:rPr>
      </w:pPr>
      <w:r>
        <w:rPr>
          <w:lang w:val="fr-FR"/>
        </w:rPr>
        <w:t>8.  </w:t>
      </w:r>
      <w:r w:rsidRPr="00281BA0">
        <w:rPr>
          <w:lang w:val="fr-FR"/>
        </w:rPr>
        <w:t>Le requérant allègue avoir également été soumis à une série d</w:t>
      </w:r>
      <w:r w:rsidR="00F21895">
        <w:rPr>
          <w:lang w:val="fr-FR"/>
        </w:rPr>
        <w:t>’</w:t>
      </w:r>
      <w:r w:rsidRPr="00281BA0">
        <w:rPr>
          <w:lang w:val="fr-FR"/>
        </w:rPr>
        <w:t xml:space="preserve">autres limitations et restrictions qui, selon lui, auraient méconnu sa dignité humaine. </w:t>
      </w:r>
      <w:r w:rsidRPr="006406DF">
        <w:rPr>
          <w:lang w:val="fr-FR"/>
        </w:rPr>
        <w:t>Il s</w:t>
      </w:r>
      <w:r w:rsidR="00F21895">
        <w:rPr>
          <w:lang w:val="fr-FR"/>
        </w:rPr>
        <w:t>’</w:t>
      </w:r>
      <w:r w:rsidRPr="006406DF">
        <w:rPr>
          <w:lang w:val="fr-FR"/>
        </w:rPr>
        <w:t>agirait en particulier de :</w:t>
      </w:r>
    </w:p>
    <w:p w:rsidR="006F453D" w:rsidRPr="00BF1E6E" w:rsidRDefault="006F453D" w:rsidP="006F453D">
      <w:pPr>
        <w:pStyle w:val="Paragrafoelenco"/>
        <w:numPr>
          <w:ilvl w:val="0"/>
          <w:numId w:val="24"/>
        </w:numPr>
        <w:autoSpaceDE w:val="0"/>
        <w:autoSpaceDN w:val="0"/>
        <w:adjustRightInd w:val="0"/>
        <w:ind w:left="567" w:hanging="283"/>
        <w:rPr>
          <w:rFonts w:ascii="Times New Roman" w:eastAsiaTheme="minorHAnsi" w:hAnsi="Times New Roman" w:cs="Times New Roman"/>
          <w:color w:val="000000"/>
          <w:szCs w:val="24"/>
          <w:lang w:val="fr-FR"/>
        </w:rPr>
      </w:pPr>
      <w:r w:rsidRPr="00BF1E6E">
        <w:rPr>
          <w:rFonts w:ascii="Times New Roman" w:eastAsiaTheme="minorHAnsi" w:hAnsi="Times New Roman" w:cs="Times New Roman"/>
          <w:color w:val="000000"/>
          <w:szCs w:val="24"/>
          <w:lang w:val="fr-FR"/>
        </w:rPr>
        <w:t>fouille au corps complètement nu, avant et après chaque entrevue, soit avec son défenseur, soit avec les membres de sa famille, même si cette entrevue avait lieu dans une cellule surveillée par le personnel de l</w:t>
      </w:r>
      <w:r w:rsidR="00F21895">
        <w:rPr>
          <w:rFonts w:ascii="Times New Roman" w:eastAsiaTheme="minorHAnsi" w:hAnsi="Times New Roman" w:cs="Times New Roman"/>
          <w:color w:val="000000"/>
          <w:szCs w:val="24"/>
          <w:lang w:val="fr-FR"/>
        </w:rPr>
        <w:t>’</w:t>
      </w:r>
      <w:r w:rsidRPr="00BF1E6E">
        <w:rPr>
          <w:rFonts w:ascii="Times New Roman" w:eastAsiaTheme="minorHAnsi" w:hAnsi="Times New Roman" w:cs="Times New Roman"/>
          <w:color w:val="000000"/>
          <w:szCs w:val="24"/>
          <w:lang w:val="fr-FR"/>
        </w:rPr>
        <w:t>administration pénitentiaire et bien qu</w:t>
      </w:r>
      <w:r w:rsidR="00F21895">
        <w:rPr>
          <w:rFonts w:ascii="Times New Roman" w:eastAsiaTheme="minorHAnsi" w:hAnsi="Times New Roman" w:cs="Times New Roman"/>
          <w:color w:val="000000"/>
          <w:szCs w:val="24"/>
          <w:lang w:val="fr-FR"/>
        </w:rPr>
        <w:t>’</w:t>
      </w:r>
      <w:r w:rsidRPr="00BF1E6E">
        <w:rPr>
          <w:rFonts w:ascii="Times New Roman" w:eastAsiaTheme="minorHAnsi" w:hAnsi="Times New Roman" w:cs="Times New Roman"/>
          <w:color w:val="000000"/>
          <w:szCs w:val="24"/>
          <w:lang w:val="fr-FR"/>
        </w:rPr>
        <w:t>il ait été séparé de son interlocuteur par une vitre blindée et que leur contact ait été uniquement visuel ;</w:t>
      </w:r>
    </w:p>
    <w:p w:rsidR="006F453D" w:rsidRPr="00BF1E6E" w:rsidRDefault="006F453D" w:rsidP="006F453D">
      <w:pPr>
        <w:pStyle w:val="Paragrafoelenco"/>
        <w:numPr>
          <w:ilvl w:val="0"/>
          <w:numId w:val="24"/>
        </w:numPr>
        <w:autoSpaceDE w:val="0"/>
        <w:autoSpaceDN w:val="0"/>
        <w:adjustRightInd w:val="0"/>
        <w:ind w:left="567" w:hanging="283"/>
        <w:rPr>
          <w:rFonts w:ascii="Times New Roman" w:eastAsiaTheme="minorHAnsi" w:hAnsi="Times New Roman" w:cs="Times New Roman"/>
          <w:color w:val="000000"/>
          <w:szCs w:val="24"/>
          <w:lang w:val="fr-FR"/>
        </w:rPr>
      </w:pPr>
      <w:r w:rsidRPr="00BF1E6E">
        <w:rPr>
          <w:rFonts w:ascii="Times New Roman" w:eastAsiaTheme="minorHAnsi" w:hAnsi="Times New Roman" w:cs="Times New Roman"/>
          <w:color w:val="000000"/>
          <w:szCs w:val="24"/>
          <w:lang w:val="fr-FR"/>
        </w:rPr>
        <w:t>obligation d</w:t>
      </w:r>
      <w:r w:rsidR="00F21895">
        <w:rPr>
          <w:rFonts w:ascii="Times New Roman" w:eastAsiaTheme="minorHAnsi" w:hAnsi="Times New Roman" w:cs="Times New Roman"/>
          <w:color w:val="000000"/>
          <w:szCs w:val="24"/>
          <w:lang w:val="fr-FR"/>
        </w:rPr>
        <w:t>’</w:t>
      </w:r>
      <w:r w:rsidRPr="00BF1E6E">
        <w:rPr>
          <w:rFonts w:ascii="Times New Roman" w:eastAsiaTheme="minorHAnsi" w:hAnsi="Times New Roman" w:cs="Times New Roman"/>
          <w:color w:val="000000"/>
          <w:szCs w:val="24"/>
          <w:lang w:val="fr-FR"/>
        </w:rPr>
        <w:t>accomplir, nu, des flexions sur les jambes devant les agents de la police pénitentiaire afin que ces derniers puissent contrôler si, au cours de l</w:t>
      </w:r>
      <w:r w:rsidR="00F21895">
        <w:rPr>
          <w:rFonts w:ascii="Times New Roman" w:eastAsiaTheme="minorHAnsi" w:hAnsi="Times New Roman" w:cs="Times New Roman"/>
          <w:color w:val="000000"/>
          <w:szCs w:val="24"/>
          <w:lang w:val="fr-FR"/>
        </w:rPr>
        <w:t>’</w:t>
      </w:r>
      <w:r w:rsidRPr="00BF1E6E">
        <w:rPr>
          <w:rFonts w:ascii="Times New Roman" w:eastAsiaTheme="minorHAnsi" w:hAnsi="Times New Roman" w:cs="Times New Roman"/>
          <w:color w:val="000000"/>
          <w:szCs w:val="24"/>
          <w:lang w:val="fr-FR"/>
        </w:rPr>
        <w:t>entrevue telle que décrite précédemment, il avait pu cacher d</w:t>
      </w:r>
      <w:r w:rsidR="00F21895">
        <w:rPr>
          <w:rFonts w:ascii="Times New Roman" w:eastAsiaTheme="minorHAnsi" w:hAnsi="Times New Roman" w:cs="Times New Roman"/>
          <w:color w:val="000000"/>
          <w:szCs w:val="24"/>
          <w:lang w:val="fr-FR"/>
        </w:rPr>
        <w:t>’</w:t>
      </w:r>
      <w:r w:rsidRPr="00BF1E6E">
        <w:rPr>
          <w:rFonts w:ascii="Times New Roman" w:eastAsiaTheme="minorHAnsi" w:hAnsi="Times New Roman" w:cs="Times New Roman"/>
          <w:color w:val="000000"/>
          <w:szCs w:val="24"/>
          <w:lang w:val="fr-FR"/>
        </w:rPr>
        <w:t>éventuels objets dans l</w:t>
      </w:r>
      <w:r w:rsidR="00F21895">
        <w:rPr>
          <w:rFonts w:ascii="Times New Roman" w:eastAsiaTheme="minorHAnsi" w:hAnsi="Times New Roman" w:cs="Times New Roman"/>
          <w:color w:val="000000"/>
          <w:szCs w:val="24"/>
          <w:lang w:val="fr-FR"/>
        </w:rPr>
        <w:t>’</w:t>
      </w:r>
      <w:r w:rsidRPr="00BF1E6E">
        <w:rPr>
          <w:rFonts w:ascii="Times New Roman" w:eastAsiaTheme="minorHAnsi" w:hAnsi="Times New Roman" w:cs="Times New Roman"/>
          <w:color w:val="000000"/>
          <w:szCs w:val="24"/>
          <w:lang w:val="fr-FR"/>
        </w:rPr>
        <w:t>orifice anal ;</w:t>
      </w:r>
    </w:p>
    <w:p w:rsidR="006F453D" w:rsidRPr="00BF1E6E" w:rsidRDefault="006F453D" w:rsidP="006F453D">
      <w:pPr>
        <w:pStyle w:val="Paragrafoelenco"/>
        <w:numPr>
          <w:ilvl w:val="0"/>
          <w:numId w:val="24"/>
        </w:numPr>
        <w:autoSpaceDE w:val="0"/>
        <w:autoSpaceDN w:val="0"/>
        <w:adjustRightInd w:val="0"/>
        <w:ind w:left="567" w:hanging="283"/>
        <w:rPr>
          <w:rFonts w:ascii="Times New Roman" w:eastAsiaTheme="minorHAnsi" w:hAnsi="Times New Roman" w:cs="Times New Roman"/>
          <w:color w:val="000000"/>
          <w:szCs w:val="24"/>
          <w:lang w:val="fr-FR"/>
        </w:rPr>
      </w:pPr>
      <w:r w:rsidRPr="00BF1E6E">
        <w:rPr>
          <w:rFonts w:ascii="Times New Roman" w:eastAsiaTheme="minorHAnsi" w:hAnsi="Times New Roman" w:cs="Times New Roman"/>
          <w:color w:val="000000"/>
          <w:szCs w:val="24"/>
          <w:lang w:val="fr-FR"/>
        </w:rPr>
        <w:t>inspection des plantes des pieds, de la cavité orale et de la cavité anale avec l</w:t>
      </w:r>
      <w:r w:rsidR="00F21895">
        <w:rPr>
          <w:rFonts w:ascii="Times New Roman" w:eastAsiaTheme="minorHAnsi" w:hAnsi="Times New Roman" w:cs="Times New Roman"/>
          <w:color w:val="000000"/>
          <w:szCs w:val="24"/>
          <w:lang w:val="fr-FR"/>
        </w:rPr>
        <w:t>’</w:t>
      </w:r>
      <w:r w:rsidRPr="00BF1E6E">
        <w:rPr>
          <w:rFonts w:ascii="Times New Roman" w:eastAsiaTheme="minorHAnsi" w:hAnsi="Times New Roman" w:cs="Times New Roman"/>
          <w:color w:val="000000"/>
          <w:szCs w:val="24"/>
          <w:lang w:val="fr-FR"/>
        </w:rPr>
        <w:t>utilisation d</w:t>
      </w:r>
      <w:r w:rsidR="00F21895">
        <w:rPr>
          <w:rFonts w:ascii="Times New Roman" w:eastAsiaTheme="minorHAnsi" w:hAnsi="Times New Roman" w:cs="Times New Roman"/>
          <w:color w:val="000000"/>
          <w:szCs w:val="24"/>
          <w:lang w:val="fr-FR"/>
        </w:rPr>
        <w:t>’</w:t>
      </w:r>
      <w:r w:rsidRPr="00BF1E6E">
        <w:rPr>
          <w:rFonts w:ascii="Times New Roman" w:eastAsiaTheme="minorHAnsi" w:hAnsi="Times New Roman" w:cs="Times New Roman"/>
          <w:color w:val="000000"/>
          <w:szCs w:val="24"/>
          <w:lang w:val="fr-FR"/>
        </w:rPr>
        <w:t>un détecteur de métaux, après chaque participation à une audience, bien que cette participation ait eu lieu dans une salle d</w:t>
      </w:r>
      <w:r w:rsidR="00F21895">
        <w:rPr>
          <w:rFonts w:ascii="Times New Roman" w:eastAsiaTheme="minorHAnsi" w:hAnsi="Times New Roman" w:cs="Times New Roman"/>
          <w:color w:val="000000"/>
          <w:szCs w:val="24"/>
          <w:lang w:val="fr-FR"/>
        </w:rPr>
        <w:t>’</w:t>
      </w:r>
      <w:r>
        <w:rPr>
          <w:rFonts w:ascii="Times New Roman" w:eastAsiaTheme="minorHAnsi" w:hAnsi="Times New Roman" w:cs="Times New Roman"/>
          <w:color w:val="000000"/>
          <w:szCs w:val="24"/>
          <w:lang w:val="fr-FR"/>
        </w:rPr>
        <w:t>audience ou à distance en vidéo</w:t>
      </w:r>
      <w:r w:rsidRPr="00BF1E6E">
        <w:rPr>
          <w:rFonts w:ascii="Times New Roman" w:eastAsiaTheme="minorHAnsi" w:hAnsi="Times New Roman" w:cs="Times New Roman"/>
          <w:color w:val="000000"/>
          <w:szCs w:val="24"/>
          <w:lang w:val="fr-FR"/>
        </w:rPr>
        <w:t>conférence, dans un lieu choisi par l</w:t>
      </w:r>
      <w:r w:rsidR="00F21895">
        <w:rPr>
          <w:rFonts w:ascii="Times New Roman" w:eastAsiaTheme="minorHAnsi" w:hAnsi="Times New Roman" w:cs="Times New Roman"/>
          <w:color w:val="000000"/>
          <w:szCs w:val="24"/>
          <w:lang w:val="fr-FR"/>
        </w:rPr>
        <w:t>’</w:t>
      </w:r>
      <w:r w:rsidRPr="00BF1E6E">
        <w:rPr>
          <w:rFonts w:ascii="Times New Roman" w:eastAsiaTheme="minorHAnsi" w:hAnsi="Times New Roman" w:cs="Times New Roman"/>
          <w:color w:val="000000"/>
          <w:szCs w:val="24"/>
          <w:lang w:val="fr-FR"/>
        </w:rPr>
        <w:t>administration pénitentiaire et sous la constante surveillance d</w:t>
      </w:r>
      <w:r w:rsidR="00F21895">
        <w:rPr>
          <w:rFonts w:ascii="Times New Roman" w:eastAsiaTheme="minorHAnsi" w:hAnsi="Times New Roman" w:cs="Times New Roman"/>
          <w:color w:val="000000"/>
          <w:szCs w:val="24"/>
          <w:lang w:val="fr-FR"/>
        </w:rPr>
        <w:t>’</w:t>
      </w:r>
      <w:r w:rsidRPr="00BF1E6E">
        <w:rPr>
          <w:rFonts w:ascii="Times New Roman" w:eastAsiaTheme="minorHAnsi" w:hAnsi="Times New Roman" w:cs="Times New Roman"/>
          <w:color w:val="000000"/>
          <w:szCs w:val="24"/>
          <w:lang w:val="fr-FR"/>
        </w:rPr>
        <w:t>agents ;</w:t>
      </w:r>
    </w:p>
    <w:p w:rsidR="006F453D" w:rsidRPr="00BF1E6E" w:rsidRDefault="006F453D" w:rsidP="006F453D">
      <w:pPr>
        <w:pStyle w:val="Paragrafoelenco"/>
        <w:numPr>
          <w:ilvl w:val="0"/>
          <w:numId w:val="24"/>
        </w:numPr>
        <w:autoSpaceDE w:val="0"/>
        <w:autoSpaceDN w:val="0"/>
        <w:adjustRightInd w:val="0"/>
        <w:ind w:left="567" w:hanging="283"/>
        <w:rPr>
          <w:rFonts w:ascii="Times New Roman" w:eastAsiaTheme="minorHAnsi" w:hAnsi="Times New Roman" w:cs="Times New Roman"/>
          <w:color w:val="000000"/>
          <w:szCs w:val="24"/>
          <w:lang w:val="fr-FR"/>
        </w:rPr>
      </w:pPr>
      <w:r w:rsidRPr="00BF1E6E">
        <w:rPr>
          <w:rFonts w:ascii="Times New Roman" w:eastAsiaTheme="minorHAnsi" w:hAnsi="Times New Roman" w:cs="Times New Roman"/>
          <w:color w:val="000000"/>
          <w:szCs w:val="24"/>
          <w:lang w:val="fr-FR"/>
        </w:rPr>
        <w:t>prise de vue, 24 heures sur 24, au moyen de caméras à circuit fermé, de sa cellule.</w:t>
      </w:r>
    </w:p>
    <w:p w:rsidR="006F453D" w:rsidRPr="00C210E3" w:rsidRDefault="006F453D" w:rsidP="00BA19BF">
      <w:pPr>
        <w:pStyle w:val="ECHRPara"/>
        <w:rPr>
          <w:rFonts w:eastAsiaTheme="minorHAnsi"/>
          <w:lang w:val="fr-FR"/>
        </w:rPr>
      </w:pPr>
      <w:r>
        <w:rPr>
          <w:rFonts w:eastAsiaTheme="minorHAnsi"/>
          <w:lang w:val="fr-FR"/>
        </w:rPr>
        <w:t>9.  </w:t>
      </w:r>
      <w:r w:rsidRPr="00C210E3">
        <w:rPr>
          <w:rFonts w:eastAsiaTheme="minorHAnsi"/>
          <w:lang w:val="fr-FR"/>
        </w:rPr>
        <w:t>L</w:t>
      </w:r>
      <w:r w:rsidR="00F21895">
        <w:rPr>
          <w:rFonts w:eastAsiaTheme="minorHAnsi"/>
          <w:lang w:val="fr-FR"/>
        </w:rPr>
        <w:t>’</w:t>
      </w:r>
      <w:r w:rsidRPr="00C210E3">
        <w:rPr>
          <w:rFonts w:eastAsiaTheme="minorHAnsi"/>
          <w:lang w:val="fr-FR"/>
        </w:rPr>
        <w:t>application du régime spécial au requérant fut prorogée pour des périodes successives de six mois jusqu</w:t>
      </w:r>
      <w:r w:rsidR="00F21895">
        <w:rPr>
          <w:rFonts w:eastAsiaTheme="minorHAnsi"/>
          <w:lang w:val="fr-FR"/>
        </w:rPr>
        <w:t>’</w:t>
      </w:r>
      <w:r w:rsidRPr="00C210E3">
        <w:rPr>
          <w:rFonts w:eastAsiaTheme="minorHAnsi"/>
          <w:lang w:val="fr-FR"/>
        </w:rPr>
        <w:t>en décembre 2002, puis d</w:t>
      </w:r>
      <w:r w:rsidR="00F21895">
        <w:rPr>
          <w:rFonts w:eastAsiaTheme="minorHAnsi"/>
          <w:lang w:val="fr-FR"/>
        </w:rPr>
        <w:t>’</w:t>
      </w:r>
      <w:r w:rsidRPr="00C210E3">
        <w:rPr>
          <w:rFonts w:eastAsiaTheme="minorHAnsi"/>
          <w:lang w:val="fr-FR"/>
        </w:rPr>
        <w:t>un an jusqu</w:t>
      </w:r>
      <w:r w:rsidR="00F21895">
        <w:rPr>
          <w:rFonts w:eastAsiaTheme="minorHAnsi"/>
          <w:lang w:val="fr-FR"/>
        </w:rPr>
        <w:t>’</w:t>
      </w:r>
      <w:r w:rsidRPr="00C210E3">
        <w:rPr>
          <w:rFonts w:eastAsiaTheme="minorHAnsi"/>
          <w:lang w:val="fr-FR"/>
        </w:rPr>
        <w:t>en décembre 2004 au moins. Les restrictions furent toutefois assouplies, une première fois en février 1995, avec la suppression de l</w:t>
      </w:r>
      <w:r w:rsidR="00F21895">
        <w:rPr>
          <w:rFonts w:eastAsiaTheme="minorHAnsi"/>
          <w:lang w:val="fr-FR"/>
        </w:rPr>
        <w:t>’</w:t>
      </w:r>
      <w:r w:rsidRPr="00C210E3">
        <w:rPr>
          <w:rFonts w:eastAsiaTheme="minorHAnsi"/>
          <w:lang w:val="fr-FR"/>
        </w:rPr>
        <w:t>interdiction de correspondre avec un autre détenu ou interné ; en</w:t>
      </w:r>
      <w:r>
        <w:rPr>
          <w:rFonts w:eastAsiaTheme="minorHAnsi"/>
          <w:lang w:val="fr-FR"/>
        </w:rPr>
        <w:t> </w:t>
      </w:r>
      <w:r w:rsidRPr="00C210E3">
        <w:rPr>
          <w:rFonts w:eastAsiaTheme="minorHAnsi"/>
          <w:lang w:val="fr-FR"/>
        </w:rPr>
        <w:t>février</w:t>
      </w:r>
      <w:r>
        <w:rPr>
          <w:rFonts w:eastAsiaTheme="minorHAnsi"/>
          <w:lang w:val="fr-FR"/>
        </w:rPr>
        <w:t> </w:t>
      </w:r>
      <w:r w:rsidRPr="00C210E3">
        <w:rPr>
          <w:rFonts w:eastAsiaTheme="minorHAnsi"/>
          <w:lang w:val="fr-FR"/>
        </w:rPr>
        <w:t>1997, avec, d</w:t>
      </w:r>
      <w:r w:rsidR="00F21895">
        <w:rPr>
          <w:rFonts w:eastAsiaTheme="minorHAnsi"/>
          <w:lang w:val="fr-FR"/>
        </w:rPr>
        <w:t>’</w:t>
      </w:r>
      <w:r w:rsidRPr="00C210E3">
        <w:rPr>
          <w:rFonts w:eastAsiaTheme="minorHAnsi"/>
          <w:lang w:val="fr-FR"/>
        </w:rPr>
        <w:t>une part, l</w:t>
      </w:r>
      <w:r w:rsidR="00F21895">
        <w:rPr>
          <w:rFonts w:eastAsiaTheme="minorHAnsi"/>
          <w:lang w:val="fr-FR"/>
        </w:rPr>
        <w:t>’</w:t>
      </w:r>
      <w:r w:rsidRPr="00C210E3">
        <w:rPr>
          <w:rFonts w:eastAsiaTheme="minorHAnsi"/>
          <w:lang w:val="fr-FR"/>
        </w:rPr>
        <w:t>autorisation d</w:t>
      </w:r>
      <w:r w:rsidR="00F21895">
        <w:rPr>
          <w:rFonts w:eastAsiaTheme="minorHAnsi"/>
          <w:lang w:val="fr-FR"/>
        </w:rPr>
        <w:t>’</w:t>
      </w:r>
      <w:r w:rsidRPr="00C210E3">
        <w:rPr>
          <w:rFonts w:eastAsiaTheme="minorHAnsi"/>
          <w:lang w:val="fr-FR"/>
        </w:rPr>
        <w:t>un entretien téléphonique d</w:t>
      </w:r>
      <w:r w:rsidR="00F21895">
        <w:rPr>
          <w:rFonts w:eastAsiaTheme="minorHAnsi"/>
          <w:lang w:val="fr-FR"/>
        </w:rPr>
        <w:t>’</w:t>
      </w:r>
      <w:r w:rsidRPr="00C210E3">
        <w:rPr>
          <w:rFonts w:eastAsiaTheme="minorHAnsi"/>
          <w:lang w:val="fr-FR"/>
        </w:rPr>
        <w:t>une heure par mois avec les membres de sa famille à défaut de visite de ceux-ci, et, d</w:t>
      </w:r>
      <w:r w:rsidR="00F21895">
        <w:rPr>
          <w:rFonts w:eastAsiaTheme="minorHAnsi"/>
          <w:lang w:val="fr-FR"/>
        </w:rPr>
        <w:t>’</w:t>
      </w:r>
      <w:r w:rsidRPr="00C210E3">
        <w:rPr>
          <w:rFonts w:eastAsiaTheme="minorHAnsi"/>
          <w:lang w:val="fr-FR"/>
        </w:rPr>
        <w:t>autre part, par la possibilité de recevoir deux colis par mois et deux colis annuels extraordinaires et d</w:t>
      </w:r>
      <w:r w:rsidR="00F21895">
        <w:rPr>
          <w:rFonts w:eastAsiaTheme="minorHAnsi"/>
          <w:lang w:val="fr-FR"/>
        </w:rPr>
        <w:t>’</w:t>
      </w:r>
      <w:r w:rsidRPr="00C210E3">
        <w:rPr>
          <w:rFonts w:eastAsiaTheme="minorHAnsi"/>
          <w:lang w:val="fr-FR"/>
        </w:rPr>
        <w:t>acheter des aliments qui requièrent une cuisson ; et encore en février 1998, avec la suppression de la limitation du temps de promenade. Cette dernière restriction f</w:t>
      </w:r>
      <w:r>
        <w:rPr>
          <w:rFonts w:eastAsiaTheme="minorHAnsi"/>
          <w:lang w:val="fr-FR"/>
        </w:rPr>
        <w:t xml:space="preserve">ut toutefois réintroduite le 28 </w:t>
      </w:r>
      <w:r w:rsidRPr="00C210E3">
        <w:rPr>
          <w:rFonts w:eastAsiaTheme="minorHAnsi"/>
          <w:lang w:val="fr-FR"/>
        </w:rPr>
        <w:t xml:space="preserve">décembre 2002, mais de façon allégée, car le </w:t>
      </w:r>
      <w:r>
        <w:rPr>
          <w:rFonts w:eastAsiaTheme="minorHAnsi"/>
          <w:lang w:val="fr-FR"/>
        </w:rPr>
        <w:t>M</w:t>
      </w:r>
      <w:r w:rsidRPr="00C210E3">
        <w:rPr>
          <w:rFonts w:eastAsiaTheme="minorHAnsi"/>
          <w:lang w:val="fr-FR"/>
        </w:rPr>
        <w:t xml:space="preserve">inistre de la Justice </w:t>
      </w:r>
      <w:r w:rsidRPr="00C210E3">
        <w:rPr>
          <w:rFonts w:eastAsiaTheme="minorHAnsi"/>
          <w:lang w:val="fr-FR"/>
        </w:rPr>
        <w:lastRenderedPageBreak/>
        <w:t>limita la période de temps hors de la cellule, en groupe de cinq personnes maximum, à quatre heures par jour dont deux heures à l</w:t>
      </w:r>
      <w:r w:rsidR="00F21895">
        <w:rPr>
          <w:rFonts w:eastAsiaTheme="minorHAnsi"/>
          <w:lang w:val="fr-FR"/>
        </w:rPr>
        <w:t>’</w:t>
      </w:r>
      <w:r w:rsidRPr="00C210E3">
        <w:rPr>
          <w:rFonts w:eastAsiaTheme="minorHAnsi"/>
          <w:lang w:val="fr-FR"/>
        </w:rPr>
        <w:t xml:space="preserve">air libre. </w:t>
      </w:r>
      <w:r>
        <w:rPr>
          <w:rFonts w:eastAsiaTheme="minorHAnsi" w:cstheme="minorHAnsi"/>
          <w:lang w:val="fr-FR"/>
        </w:rPr>
        <w:t>À</w:t>
      </w:r>
      <w:r w:rsidRPr="00C210E3">
        <w:rPr>
          <w:rFonts w:eastAsiaTheme="minorHAnsi"/>
          <w:lang w:val="fr-FR"/>
        </w:rPr>
        <w:t xml:space="preserve"> la même date, furent su</w:t>
      </w:r>
      <w:r>
        <w:rPr>
          <w:rFonts w:eastAsiaTheme="minorHAnsi"/>
          <w:lang w:val="fr-FR"/>
        </w:rPr>
        <w:t>pprimées les interdictions d</w:t>
      </w:r>
      <w:r w:rsidR="00F21895">
        <w:rPr>
          <w:rFonts w:eastAsiaTheme="minorHAnsi"/>
          <w:lang w:val="fr-FR"/>
        </w:rPr>
        <w:t>’</w:t>
      </w:r>
      <w:r>
        <w:rPr>
          <w:rFonts w:eastAsiaTheme="minorHAnsi"/>
          <w:lang w:val="fr-FR"/>
        </w:rPr>
        <w:t>or</w:t>
      </w:r>
      <w:r w:rsidRPr="00C210E3">
        <w:rPr>
          <w:rFonts w:eastAsiaTheme="minorHAnsi"/>
          <w:lang w:val="fr-FR"/>
        </w:rPr>
        <w:t>ganiser des activités culturelles, récréatives et sportives et d</w:t>
      </w:r>
      <w:r w:rsidR="00F21895">
        <w:rPr>
          <w:rFonts w:eastAsiaTheme="minorHAnsi"/>
          <w:lang w:val="fr-FR"/>
        </w:rPr>
        <w:t>’</w:t>
      </w:r>
      <w:r w:rsidRPr="00C210E3">
        <w:rPr>
          <w:rFonts w:eastAsiaTheme="minorHAnsi"/>
          <w:lang w:val="fr-FR"/>
        </w:rPr>
        <w:t>exercer des activités artisanales.</w:t>
      </w:r>
    </w:p>
    <w:p w:rsidR="006F453D" w:rsidRPr="00C210E3" w:rsidRDefault="006F453D" w:rsidP="00BA19BF">
      <w:pPr>
        <w:pStyle w:val="ECHRPara"/>
        <w:rPr>
          <w:rFonts w:ascii="Times New Roman" w:eastAsiaTheme="minorHAnsi" w:hAnsi="Times New Roman" w:cs="Times New Roman"/>
          <w:color w:val="000000"/>
          <w:szCs w:val="24"/>
          <w:lang w:val="fr-FR"/>
        </w:rPr>
      </w:pPr>
      <w:r>
        <w:rPr>
          <w:rFonts w:ascii="Times New Roman" w:eastAsiaTheme="minorHAnsi" w:hAnsi="Times New Roman" w:cs="Times New Roman"/>
          <w:color w:val="000000"/>
          <w:szCs w:val="24"/>
          <w:lang w:val="fr-FR"/>
        </w:rPr>
        <w:t>10.  </w:t>
      </w:r>
      <w:r w:rsidRPr="00C210E3">
        <w:rPr>
          <w:rFonts w:ascii="Times New Roman" w:eastAsiaTheme="minorHAnsi" w:hAnsi="Times New Roman" w:cs="Times New Roman"/>
          <w:color w:val="000000"/>
          <w:szCs w:val="24"/>
          <w:lang w:val="fr-FR"/>
        </w:rPr>
        <w:t>Le requérant affirme avoir attaqué tous les arrêtés ministériels devant les tribunaux de l</w:t>
      </w:r>
      <w:r w:rsidR="00F21895">
        <w:rPr>
          <w:rFonts w:ascii="Times New Roman" w:eastAsiaTheme="minorHAnsi" w:hAnsi="Times New Roman" w:cs="Times New Roman"/>
          <w:color w:val="000000"/>
          <w:szCs w:val="24"/>
          <w:lang w:val="fr-FR"/>
        </w:rPr>
        <w:t>’</w:t>
      </w:r>
      <w:r w:rsidRPr="00C210E3">
        <w:rPr>
          <w:rFonts w:ascii="Times New Roman" w:eastAsiaTheme="minorHAnsi" w:hAnsi="Times New Roman" w:cs="Times New Roman"/>
          <w:color w:val="000000"/>
          <w:szCs w:val="24"/>
          <w:lang w:val="fr-FR"/>
        </w:rPr>
        <w:t>application des peines puis devant la Cour de cassation ; le</w:t>
      </w:r>
      <w:r>
        <w:rPr>
          <w:rFonts w:ascii="Times New Roman" w:eastAsiaTheme="minorHAnsi" w:hAnsi="Times New Roman" w:cs="Times New Roman"/>
          <w:color w:val="000000"/>
          <w:szCs w:val="24"/>
          <w:lang w:val="fr-FR"/>
        </w:rPr>
        <w:t> </w:t>
      </w:r>
      <w:r w:rsidRPr="00C210E3">
        <w:rPr>
          <w:rFonts w:ascii="Times New Roman" w:eastAsiaTheme="minorHAnsi" w:hAnsi="Times New Roman" w:cs="Times New Roman"/>
          <w:color w:val="000000"/>
          <w:szCs w:val="24"/>
          <w:lang w:val="fr-FR"/>
        </w:rPr>
        <w:t>dossier de la requête ne permet toutefois de confirmer ces allégations que pour 14 des 19 arrêtés, quant aux recours de premier degré. Il s</w:t>
      </w:r>
      <w:r w:rsidR="00F21895">
        <w:rPr>
          <w:rFonts w:ascii="Times New Roman" w:eastAsiaTheme="minorHAnsi" w:hAnsi="Times New Roman" w:cs="Times New Roman"/>
          <w:color w:val="000000"/>
          <w:szCs w:val="24"/>
          <w:lang w:val="fr-FR"/>
        </w:rPr>
        <w:t>’</w:t>
      </w:r>
      <w:r w:rsidRPr="00C210E3">
        <w:rPr>
          <w:rFonts w:ascii="Times New Roman" w:eastAsiaTheme="minorHAnsi" w:hAnsi="Times New Roman" w:cs="Times New Roman"/>
          <w:color w:val="000000"/>
          <w:szCs w:val="24"/>
          <w:lang w:val="fr-FR"/>
        </w:rPr>
        <w:t>agit respectivement des :</w:t>
      </w:r>
    </w:p>
    <w:p w:rsidR="006F453D" w:rsidRPr="00C210E3" w:rsidRDefault="006F453D" w:rsidP="006F453D">
      <w:pPr>
        <w:pStyle w:val="Paragrafoelenco"/>
        <w:numPr>
          <w:ilvl w:val="0"/>
          <w:numId w:val="23"/>
        </w:numPr>
        <w:autoSpaceDE w:val="0"/>
        <w:autoSpaceDN w:val="0"/>
        <w:adjustRightInd w:val="0"/>
        <w:ind w:left="284" w:hanging="294"/>
        <w:rPr>
          <w:rFonts w:ascii="Times New Roman" w:eastAsiaTheme="minorHAnsi" w:hAnsi="Times New Roman" w:cs="Times New Roman"/>
          <w:color w:val="000000"/>
          <w:szCs w:val="24"/>
          <w:lang w:val="fr-FR"/>
        </w:rPr>
      </w:pPr>
      <w:r w:rsidRPr="00C210E3">
        <w:rPr>
          <w:rFonts w:ascii="Times New Roman" w:eastAsiaTheme="minorHAnsi" w:hAnsi="Times New Roman" w:cs="Times New Roman"/>
          <w:color w:val="000000"/>
          <w:szCs w:val="24"/>
          <w:lang w:val="fr-FR"/>
        </w:rPr>
        <w:t>recours du 9 février 1995 devant le tribunal de l</w:t>
      </w:r>
      <w:r w:rsidR="00F21895">
        <w:rPr>
          <w:rFonts w:ascii="Times New Roman" w:eastAsiaTheme="minorHAnsi" w:hAnsi="Times New Roman" w:cs="Times New Roman"/>
          <w:color w:val="000000"/>
          <w:szCs w:val="24"/>
          <w:lang w:val="fr-FR"/>
        </w:rPr>
        <w:t>’</w:t>
      </w:r>
      <w:r w:rsidRPr="00C210E3">
        <w:rPr>
          <w:rFonts w:ascii="Times New Roman" w:eastAsiaTheme="minorHAnsi" w:hAnsi="Times New Roman" w:cs="Times New Roman"/>
          <w:color w:val="000000"/>
          <w:szCs w:val="24"/>
          <w:lang w:val="fr-FR"/>
        </w:rPr>
        <w:t>application des peines (« le  TAP ») de Palerme à l</w:t>
      </w:r>
      <w:r w:rsidR="00F21895">
        <w:rPr>
          <w:rFonts w:ascii="Times New Roman" w:eastAsiaTheme="minorHAnsi" w:hAnsi="Times New Roman" w:cs="Times New Roman"/>
          <w:color w:val="000000"/>
          <w:szCs w:val="24"/>
          <w:lang w:val="fr-FR"/>
        </w:rPr>
        <w:t>’</w:t>
      </w:r>
      <w:r w:rsidRPr="00C210E3">
        <w:rPr>
          <w:rFonts w:ascii="Times New Roman" w:eastAsiaTheme="minorHAnsi" w:hAnsi="Times New Roman" w:cs="Times New Roman"/>
          <w:color w:val="000000"/>
          <w:szCs w:val="24"/>
          <w:lang w:val="fr-FR"/>
        </w:rPr>
        <w:t>encontre de l</w:t>
      </w:r>
      <w:r w:rsidR="00F21895">
        <w:rPr>
          <w:rFonts w:ascii="Times New Roman" w:eastAsiaTheme="minorHAnsi" w:hAnsi="Times New Roman" w:cs="Times New Roman"/>
          <w:color w:val="000000"/>
          <w:szCs w:val="24"/>
          <w:lang w:val="fr-FR"/>
        </w:rPr>
        <w:t>’</w:t>
      </w:r>
      <w:r w:rsidRPr="00C210E3">
        <w:rPr>
          <w:rFonts w:ascii="Times New Roman" w:eastAsiaTheme="minorHAnsi" w:hAnsi="Times New Roman" w:cs="Times New Roman"/>
          <w:color w:val="000000"/>
          <w:szCs w:val="24"/>
          <w:lang w:val="fr-FR"/>
        </w:rPr>
        <w:t>arrêté du 1</w:t>
      </w:r>
      <w:r w:rsidRPr="004E3004">
        <w:rPr>
          <w:rFonts w:ascii="Times New Roman" w:eastAsiaTheme="minorHAnsi" w:hAnsi="Times New Roman" w:cs="Times New Roman"/>
          <w:color w:val="000000"/>
          <w:szCs w:val="24"/>
          <w:vertAlign w:val="superscript"/>
          <w:lang w:val="fr-FR"/>
        </w:rPr>
        <w:t>er</w:t>
      </w:r>
      <w:r>
        <w:rPr>
          <w:rFonts w:ascii="Times New Roman" w:eastAsiaTheme="minorHAnsi" w:hAnsi="Times New Roman" w:cs="Times New Roman"/>
          <w:color w:val="000000"/>
          <w:szCs w:val="24"/>
          <w:vertAlign w:val="superscript"/>
          <w:lang w:val="fr-FR"/>
        </w:rPr>
        <w:t> </w:t>
      </w:r>
      <w:r w:rsidRPr="00C210E3">
        <w:rPr>
          <w:rFonts w:ascii="Times New Roman" w:eastAsiaTheme="minorHAnsi" w:hAnsi="Times New Roman" w:cs="Times New Roman"/>
          <w:color w:val="000000"/>
          <w:szCs w:val="24"/>
          <w:lang w:val="fr-FR"/>
        </w:rPr>
        <w:t>février</w:t>
      </w:r>
      <w:r>
        <w:rPr>
          <w:rFonts w:ascii="Times New Roman" w:eastAsiaTheme="minorHAnsi" w:hAnsi="Times New Roman" w:cs="Times New Roman"/>
          <w:color w:val="000000"/>
          <w:szCs w:val="24"/>
          <w:lang w:val="fr-FR"/>
        </w:rPr>
        <w:t> </w:t>
      </w:r>
      <w:r w:rsidRPr="00C210E3">
        <w:rPr>
          <w:rFonts w:ascii="Times New Roman" w:eastAsiaTheme="minorHAnsi" w:hAnsi="Times New Roman" w:cs="Times New Roman"/>
          <w:color w:val="000000"/>
          <w:szCs w:val="24"/>
          <w:lang w:val="fr-FR"/>
        </w:rPr>
        <w:t>1995, rejeté le 23 mai au motif que la juridiction saisie n</w:t>
      </w:r>
      <w:r w:rsidR="00F21895">
        <w:rPr>
          <w:rFonts w:ascii="Times New Roman" w:eastAsiaTheme="minorHAnsi" w:hAnsi="Times New Roman" w:cs="Times New Roman"/>
          <w:color w:val="000000"/>
          <w:szCs w:val="24"/>
          <w:lang w:val="fr-FR"/>
        </w:rPr>
        <w:t>’</w:t>
      </w:r>
      <w:r w:rsidRPr="00C210E3">
        <w:rPr>
          <w:rFonts w:ascii="Times New Roman" w:eastAsiaTheme="minorHAnsi" w:hAnsi="Times New Roman" w:cs="Times New Roman"/>
          <w:color w:val="000000"/>
          <w:szCs w:val="24"/>
          <w:lang w:val="fr-FR"/>
        </w:rPr>
        <w:t>avait pas le pouvoir (à l</w:t>
      </w:r>
      <w:r w:rsidR="00F21895">
        <w:rPr>
          <w:rFonts w:ascii="Times New Roman" w:eastAsiaTheme="minorHAnsi" w:hAnsi="Times New Roman" w:cs="Times New Roman"/>
          <w:color w:val="000000"/>
          <w:szCs w:val="24"/>
          <w:lang w:val="fr-FR"/>
        </w:rPr>
        <w:t>’</w:t>
      </w:r>
      <w:r w:rsidRPr="00C210E3">
        <w:rPr>
          <w:rFonts w:ascii="Times New Roman" w:eastAsiaTheme="minorHAnsi" w:hAnsi="Times New Roman" w:cs="Times New Roman"/>
          <w:color w:val="000000"/>
          <w:szCs w:val="24"/>
          <w:lang w:val="fr-FR"/>
        </w:rPr>
        <w:t>époque) de supprimer l</w:t>
      </w:r>
      <w:r w:rsidR="00F21895">
        <w:rPr>
          <w:rFonts w:ascii="Times New Roman" w:eastAsiaTheme="minorHAnsi" w:hAnsi="Times New Roman" w:cs="Times New Roman"/>
          <w:color w:val="000000"/>
          <w:szCs w:val="24"/>
          <w:lang w:val="fr-FR"/>
        </w:rPr>
        <w:t>’</w:t>
      </w:r>
      <w:r w:rsidRPr="00C210E3">
        <w:rPr>
          <w:rFonts w:ascii="Times New Roman" w:eastAsiaTheme="minorHAnsi" w:hAnsi="Times New Roman" w:cs="Times New Roman"/>
          <w:color w:val="000000"/>
          <w:szCs w:val="24"/>
          <w:lang w:val="fr-FR"/>
        </w:rPr>
        <w:t>application des mesures imposées par décision ministérielle ;</w:t>
      </w:r>
    </w:p>
    <w:p w:rsidR="006F453D" w:rsidRPr="00C210E3" w:rsidRDefault="006F453D" w:rsidP="006F453D">
      <w:pPr>
        <w:pStyle w:val="Paragrafoelenco"/>
        <w:numPr>
          <w:ilvl w:val="0"/>
          <w:numId w:val="23"/>
        </w:numPr>
        <w:autoSpaceDE w:val="0"/>
        <w:autoSpaceDN w:val="0"/>
        <w:adjustRightInd w:val="0"/>
        <w:ind w:left="284" w:hanging="294"/>
        <w:rPr>
          <w:rFonts w:ascii="Times New Roman" w:eastAsiaTheme="minorHAnsi" w:hAnsi="Times New Roman" w:cs="Times New Roman"/>
          <w:color w:val="000000"/>
          <w:szCs w:val="24"/>
          <w:lang w:val="fr-FR"/>
        </w:rPr>
      </w:pPr>
      <w:r w:rsidRPr="00C210E3">
        <w:rPr>
          <w:rFonts w:ascii="Times New Roman" w:eastAsiaTheme="minorHAnsi" w:hAnsi="Times New Roman" w:cs="Times New Roman"/>
          <w:color w:val="000000"/>
          <w:szCs w:val="24"/>
          <w:lang w:val="fr-FR"/>
        </w:rPr>
        <w:t>recours à une date non précisée devant le TAP de Venise à l</w:t>
      </w:r>
      <w:r w:rsidR="00F21895">
        <w:rPr>
          <w:rFonts w:ascii="Times New Roman" w:eastAsiaTheme="minorHAnsi" w:hAnsi="Times New Roman" w:cs="Times New Roman"/>
          <w:color w:val="000000"/>
          <w:szCs w:val="24"/>
          <w:lang w:val="fr-FR"/>
        </w:rPr>
        <w:t>’</w:t>
      </w:r>
      <w:r w:rsidRPr="00C210E3">
        <w:rPr>
          <w:rFonts w:ascii="Times New Roman" w:eastAsiaTheme="minorHAnsi" w:hAnsi="Times New Roman" w:cs="Times New Roman"/>
          <w:color w:val="000000"/>
          <w:szCs w:val="24"/>
          <w:lang w:val="fr-FR"/>
        </w:rPr>
        <w:t>encontre de l</w:t>
      </w:r>
      <w:r w:rsidR="00F21895">
        <w:rPr>
          <w:rFonts w:ascii="Times New Roman" w:eastAsiaTheme="minorHAnsi" w:hAnsi="Times New Roman" w:cs="Times New Roman"/>
          <w:color w:val="000000"/>
          <w:szCs w:val="24"/>
          <w:lang w:val="fr-FR"/>
        </w:rPr>
        <w:t>’</w:t>
      </w:r>
      <w:r w:rsidRPr="00C210E3">
        <w:rPr>
          <w:rFonts w:ascii="Times New Roman" w:eastAsiaTheme="minorHAnsi" w:hAnsi="Times New Roman" w:cs="Times New Roman"/>
          <w:color w:val="000000"/>
          <w:szCs w:val="24"/>
          <w:lang w:val="fr-FR"/>
        </w:rPr>
        <w:t xml:space="preserve">arrêté du 8 février 1996, rejeté le 28 juin pour incompétence </w:t>
      </w:r>
      <w:proofErr w:type="spellStart"/>
      <w:r w:rsidRPr="004E3004">
        <w:rPr>
          <w:rFonts w:ascii="Times New Roman" w:eastAsiaTheme="minorHAnsi" w:hAnsi="Times New Roman" w:cs="Times New Roman"/>
          <w:i/>
          <w:color w:val="000000"/>
          <w:szCs w:val="24"/>
          <w:lang w:val="fr-FR"/>
        </w:rPr>
        <w:t>ratione</w:t>
      </w:r>
      <w:proofErr w:type="spellEnd"/>
      <w:r w:rsidRPr="004E3004">
        <w:rPr>
          <w:rFonts w:ascii="Times New Roman" w:eastAsiaTheme="minorHAnsi" w:hAnsi="Times New Roman" w:cs="Times New Roman"/>
          <w:i/>
          <w:color w:val="000000"/>
          <w:szCs w:val="24"/>
          <w:lang w:val="fr-FR"/>
        </w:rPr>
        <w:t xml:space="preserve"> </w:t>
      </w:r>
      <w:proofErr w:type="spellStart"/>
      <w:r w:rsidRPr="004E3004">
        <w:rPr>
          <w:rFonts w:ascii="Times New Roman" w:eastAsiaTheme="minorHAnsi" w:hAnsi="Times New Roman" w:cs="Times New Roman"/>
          <w:i/>
          <w:color w:val="000000"/>
          <w:szCs w:val="24"/>
          <w:lang w:val="fr-FR"/>
        </w:rPr>
        <w:t>loci</w:t>
      </w:r>
      <w:proofErr w:type="spellEnd"/>
      <w:r w:rsidRPr="004E3004">
        <w:rPr>
          <w:rFonts w:ascii="Times New Roman" w:eastAsiaTheme="minorHAnsi" w:hAnsi="Times New Roman" w:cs="Times New Roman"/>
          <w:color w:val="000000"/>
          <w:szCs w:val="24"/>
          <w:lang w:val="fr-FR"/>
        </w:rPr>
        <w:t> </w:t>
      </w:r>
      <w:r w:rsidRPr="00C210E3">
        <w:rPr>
          <w:rFonts w:ascii="Times New Roman" w:eastAsiaTheme="minorHAnsi" w:hAnsi="Times New Roman" w:cs="Times New Roman"/>
          <w:color w:val="000000"/>
          <w:szCs w:val="24"/>
          <w:lang w:val="fr-FR"/>
        </w:rPr>
        <w:t>;</w:t>
      </w:r>
    </w:p>
    <w:p w:rsidR="006F453D" w:rsidRPr="00C210E3" w:rsidRDefault="006F453D" w:rsidP="006F453D">
      <w:pPr>
        <w:pStyle w:val="Paragrafoelenco"/>
        <w:numPr>
          <w:ilvl w:val="0"/>
          <w:numId w:val="23"/>
        </w:numPr>
        <w:autoSpaceDE w:val="0"/>
        <w:autoSpaceDN w:val="0"/>
        <w:adjustRightInd w:val="0"/>
        <w:ind w:left="284" w:hanging="294"/>
        <w:rPr>
          <w:rFonts w:ascii="Times New Roman" w:eastAsiaTheme="minorHAnsi" w:hAnsi="Times New Roman" w:cs="Times New Roman"/>
          <w:color w:val="000000"/>
          <w:szCs w:val="24"/>
          <w:lang w:val="fr-FR"/>
        </w:rPr>
      </w:pPr>
      <w:r w:rsidRPr="00C210E3">
        <w:rPr>
          <w:rFonts w:ascii="Times New Roman" w:eastAsiaTheme="minorHAnsi" w:hAnsi="Times New Roman" w:cs="Times New Roman"/>
          <w:color w:val="000000"/>
          <w:szCs w:val="24"/>
          <w:lang w:val="fr-FR"/>
        </w:rPr>
        <w:t>recours du 8 août 1996 devant le TAP de Pérouse à l</w:t>
      </w:r>
      <w:r w:rsidR="00F21895">
        <w:rPr>
          <w:rFonts w:ascii="Times New Roman" w:eastAsiaTheme="minorHAnsi" w:hAnsi="Times New Roman" w:cs="Times New Roman"/>
          <w:color w:val="000000"/>
          <w:szCs w:val="24"/>
          <w:lang w:val="fr-FR"/>
        </w:rPr>
        <w:t>’</w:t>
      </w:r>
      <w:r w:rsidRPr="00C210E3">
        <w:rPr>
          <w:rFonts w:ascii="Times New Roman" w:eastAsiaTheme="minorHAnsi" w:hAnsi="Times New Roman" w:cs="Times New Roman"/>
          <w:color w:val="000000"/>
          <w:szCs w:val="24"/>
          <w:lang w:val="fr-FR"/>
        </w:rPr>
        <w:t>encontre de l</w:t>
      </w:r>
      <w:r w:rsidR="00F21895">
        <w:rPr>
          <w:rFonts w:ascii="Times New Roman" w:eastAsiaTheme="minorHAnsi" w:hAnsi="Times New Roman" w:cs="Times New Roman"/>
          <w:color w:val="000000"/>
          <w:szCs w:val="24"/>
          <w:lang w:val="fr-FR"/>
        </w:rPr>
        <w:t>’</w:t>
      </w:r>
      <w:r w:rsidRPr="00C210E3">
        <w:rPr>
          <w:rFonts w:ascii="Times New Roman" w:eastAsiaTheme="minorHAnsi" w:hAnsi="Times New Roman" w:cs="Times New Roman"/>
          <w:color w:val="000000"/>
          <w:szCs w:val="24"/>
          <w:lang w:val="fr-FR"/>
        </w:rPr>
        <w:t>arrêté du 5 août 1996, à l</w:t>
      </w:r>
      <w:r w:rsidR="00F21895">
        <w:rPr>
          <w:rFonts w:ascii="Times New Roman" w:eastAsiaTheme="minorHAnsi" w:hAnsi="Times New Roman" w:cs="Times New Roman"/>
          <w:color w:val="000000"/>
          <w:szCs w:val="24"/>
          <w:lang w:val="fr-FR"/>
        </w:rPr>
        <w:t>’</w:t>
      </w:r>
      <w:r w:rsidRPr="00C210E3">
        <w:rPr>
          <w:rFonts w:ascii="Times New Roman" w:eastAsiaTheme="minorHAnsi" w:hAnsi="Times New Roman" w:cs="Times New Roman"/>
          <w:color w:val="000000"/>
          <w:szCs w:val="24"/>
          <w:lang w:val="fr-FR"/>
        </w:rPr>
        <w:t>issue inconnue ;</w:t>
      </w:r>
    </w:p>
    <w:p w:rsidR="006F453D" w:rsidRPr="00C210E3" w:rsidRDefault="006F453D" w:rsidP="006F453D">
      <w:pPr>
        <w:pStyle w:val="Paragrafoelenco"/>
        <w:numPr>
          <w:ilvl w:val="0"/>
          <w:numId w:val="23"/>
        </w:numPr>
        <w:autoSpaceDE w:val="0"/>
        <w:autoSpaceDN w:val="0"/>
        <w:adjustRightInd w:val="0"/>
        <w:ind w:left="284" w:hanging="294"/>
        <w:rPr>
          <w:rFonts w:ascii="Times New Roman" w:eastAsiaTheme="minorHAnsi" w:hAnsi="Times New Roman" w:cs="Times New Roman"/>
          <w:color w:val="000000"/>
          <w:szCs w:val="24"/>
          <w:lang w:val="fr-FR"/>
        </w:rPr>
      </w:pPr>
      <w:r w:rsidRPr="00C210E3">
        <w:rPr>
          <w:rFonts w:ascii="Times New Roman" w:eastAsiaTheme="minorHAnsi" w:hAnsi="Times New Roman" w:cs="Times New Roman"/>
          <w:color w:val="000000"/>
          <w:szCs w:val="24"/>
          <w:lang w:val="fr-FR"/>
        </w:rPr>
        <w:t>recours du 15 février 1997 devant le TAP de Pérouse à l</w:t>
      </w:r>
      <w:r w:rsidR="00F21895">
        <w:rPr>
          <w:rFonts w:ascii="Times New Roman" w:eastAsiaTheme="minorHAnsi" w:hAnsi="Times New Roman" w:cs="Times New Roman"/>
          <w:color w:val="000000"/>
          <w:szCs w:val="24"/>
          <w:lang w:val="fr-FR"/>
        </w:rPr>
        <w:t>’</w:t>
      </w:r>
      <w:r w:rsidRPr="00C210E3">
        <w:rPr>
          <w:rFonts w:ascii="Times New Roman" w:eastAsiaTheme="minorHAnsi" w:hAnsi="Times New Roman" w:cs="Times New Roman"/>
          <w:color w:val="000000"/>
          <w:szCs w:val="24"/>
          <w:lang w:val="fr-FR"/>
        </w:rPr>
        <w:t>encontre de l</w:t>
      </w:r>
      <w:r w:rsidR="00F21895">
        <w:rPr>
          <w:rFonts w:ascii="Times New Roman" w:eastAsiaTheme="minorHAnsi" w:hAnsi="Times New Roman" w:cs="Times New Roman"/>
          <w:color w:val="000000"/>
          <w:szCs w:val="24"/>
          <w:lang w:val="fr-FR"/>
        </w:rPr>
        <w:t>’</w:t>
      </w:r>
      <w:r w:rsidRPr="00C210E3">
        <w:rPr>
          <w:rFonts w:ascii="Times New Roman" w:eastAsiaTheme="minorHAnsi" w:hAnsi="Times New Roman" w:cs="Times New Roman"/>
          <w:color w:val="000000"/>
          <w:szCs w:val="24"/>
          <w:lang w:val="fr-FR"/>
        </w:rPr>
        <w:t>arrêté du 10 février 1997, rejeté le 20 septembre pour défaut d</w:t>
      </w:r>
      <w:r w:rsidR="00F21895">
        <w:rPr>
          <w:rFonts w:ascii="Times New Roman" w:eastAsiaTheme="minorHAnsi" w:hAnsi="Times New Roman" w:cs="Times New Roman"/>
          <w:color w:val="000000"/>
          <w:szCs w:val="24"/>
          <w:lang w:val="fr-FR"/>
        </w:rPr>
        <w:t>’</w:t>
      </w:r>
      <w:r w:rsidRPr="00C210E3">
        <w:rPr>
          <w:rFonts w:ascii="Times New Roman" w:eastAsiaTheme="minorHAnsi" w:hAnsi="Times New Roman" w:cs="Times New Roman"/>
          <w:color w:val="000000"/>
          <w:szCs w:val="24"/>
          <w:lang w:val="fr-FR"/>
        </w:rPr>
        <w:t>intérêt, la période de validité de la décision contestée ayant expiré ;</w:t>
      </w:r>
    </w:p>
    <w:p w:rsidR="006F453D" w:rsidRPr="00C210E3" w:rsidRDefault="006F453D" w:rsidP="006F453D">
      <w:pPr>
        <w:pStyle w:val="Paragrafoelenco"/>
        <w:numPr>
          <w:ilvl w:val="0"/>
          <w:numId w:val="23"/>
        </w:numPr>
        <w:autoSpaceDE w:val="0"/>
        <w:autoSpaceDN w:val="0"/>
        <w:adjustRightInd w:val="0"/>
        <w:ind w:left="284" w:hanging="294"/>
        <w:rPr>
          <w:rFonts w:ascii="Times New Roman" w:eastAsiaTheme="minorHAnsi" w:hAnsi="Times New Roman" w:cs="Times New Roman"/>
          <w:color w:val="000000"/>
          <w:szCs w:val="24"/>
          <w:lang w:val="fr-FR"/>
        </w:rPr>
      </w:pPr>
      <w:r w:rsidRPr="00C210E3">
        <w:rPr>
          <w:rFonts w:ascii="Times New Roman" w:eastAsiaTheme="minorHAnsi" w:hAnsi="Times New Roman" w:cs="Times New Roman"/>
          <w:color w:val="000000"/>
          <w:szCs w:val="24"/>
          <w:lang w:val="fr-FR"/>
        </w:rPr>
        <w:t>recours du 1</w:t>
      </w:r>
      <w:r w:rsidRPr="00621928">
        <w:rPr>
          <w:rFonts w:ascii="Times New Roman" w:eastAsiaTheme="minorHAnsi" w:hAnsi="Times New Roman" w:cs="Times New Roman"/>
          <w:color w:val="000000"/>
          <w:szCs w:val="24"/>
          <w:vertAlign w:val="superscript"/>
          <w:lang w:val="fr-FR"/>
        </w:rPr>
        <w:t>er</w:t>
      </w:r>
      <w:r w:rsidRPr="00C210E3">
        <w:rPr>
          <w:rFonts w:ascii="Times New Roman" w:eastAsiaTheme="minorHAnsi" w:hAnsi="Times New Roman" w:cs="Times New Roman"/>
          <w:color w:val="000000"/>
          <w:szCs w:val="24"/>
          <w:lang w:val="fr-FR"/>
        </w:rPr>
        <w:t xml:space="preserve"> août 1997 devant le TAP de Pérouse à l</w:t>
      </w:r>
      <w:r w:rsidR="00F21895">
        <w:rPr>
          <w:rFonts w:ascii="Times New Roman" w:eastAsiaTheme="minorHAnsi" w:hAnsi="Times New Roman" w:cs="Times New Roman"/>
          <w:color w:val="000000"/>
          <w:szCs w:val="24"/>
          <w:lang w:val="fr-FR"/>
        </w:rPr>
        <w:t>’</w:t>
      </w:r>
      <w:r w:rsidRPr="00C210E3">
        <w:rPr>
          <w:rFonts w:ascii="Times New Roman" w:eastAsiaTheme="minorHAnsi" w:hAnsi="Times New Roman" w:cs="Times New Roman"/>
          <w:color w:val="000000"/>
          <w:szCs w:val="24"/>
          <w:lang w:val="fr-FR"/>
        </w:rPr>
        <w:t>encontre de l</w:t>
      </w:r>
      <w:r w:rsidR="00F21895">
        <w:rPr>
          <w:rFonts w:ascii="Times New Roman" w:eastAsiaTheme="minorHAnsi" w:hAnsi="Times New Roman" w:cs="Times New Roman"/>
          <w:color w:val="000000"/>
          <w:szCs w:val="24"/>
          <w:lang w:val="fr-FR"/>
        </w:rPr>
        <w:t>’</w:t>
      </w:r>
      <w:r w:rsidRPr="00C210E3">
        <w:rPr>
          <w:rFonts w:ascii="Times New Roman" w:eastAsiaTheme="minorHAnsi" w:hAnsi="Times New Roman" w:cs="Times New Roman"/>
          <w:color w:val="000000"/>
          <w:szCs w:val="24"/>
          <w:lang w:val="fr-FR"/>
        </w:rPr>
        <w:t>arrêté du 31 juillet 1997, rejeté le 16 février 1998 pour défaut d</w:t>
      </w:r>
      <w:r w:rsidR="00F21895">
        <w:rPr>
          <w:rFonts w:ascii="Times New Roman" w:eastAsiaTheme="minorHAnsi" w:hAnsi="Times New Roman" w:cs="Times New Roman"/>
          <w:color w:val="000000"/>
          <w:szCs w:val="24"/>
          <w:lang w:val="fr-FR"/>
        </w:rPr>
        <w:t>’</w:t>
      </w:r>
      <w:r w:rsidRPr="00C210E3">
        <w:rPr>
          <w:rFonts w:ascii="Times New Roman" w:eastAsiaTheme="minorHAnsi" w:hAnsi="Times New Roman" w:cs="Times New Roman"/>
          <w:color w:val="000000"/>
          <w:szCs w:val="24"/>
          <w:lang w:val="fr-FR"/>
        </w:rPr>
        <w:t>intérêt, la période de validité de la décision contestée ayant expiré ;</w:t>
      </w:r>
    </w:p>
    <w:p w:rsidR="006F453D" w:rsidRPr="00C210E3" w:rsidRDefault="006F453D" w:rsidP="006F453D">
      <w:pPr>
        <w:pStyle w:val="Paragrafoelenco"/>
        <w:numPr>
          <w:ilvl w:val="0"/>
          <w:numId w:val="23"/>
        </w:numPr>
        <w:autoSpaceDE w:val="0"/>
        <w:autoSpaceDN w:val="0"/>
        <w:adjustRightInd w:val="0"/>
        <w:ind w:left="284" w:hanging="294"/>
        <w:rPr>
          <w:rFonts w:ascii="Times New Roman" w:eastAsiaTheme="minorHAnsi" w:hAnsi="Times New Roman" w:cs="Times New Roman"/>
          <w:color w:val="000000"/>
          <w:szCs w:val="24"/>
          <w:lang w:val="fr-FR"/>
        </w:rPr>
      </w:pPr>
      <w:r w:rsidRPr="00C210E3">
        <w:rPr>
          <w:rFonts w:ascii="Times New Roman" w:eastAsiaTheme="minorHAnsi" w:hAnsi="Times New Roman" w:cs="Times New Roman"/>
          <w:color w:val="000000"/>
          <w:szCs w:val="24"/>
          <w:lang w:val="fr-FR"/>
        </w:rPr>
        <w:t>recours du 3 août 1998 devant le TAP de L</w:t>
      </w:r>
      <w:r w:rsidR="00F21895">
        <w:rPr>
          <w:rFonts w:ascii="Times New Roman" w:eastAsiaTheme="minorHAnsi" w:hAnsi="Times New Roman" w:cs="Times New Roman"/>
          <w:color w:val="000000"/>
          <w:szCs w:val="24"/>
          <w:lang w:val="fr-FR"/>
        </w:rPr>
        <w:t>’</w:t>
      </w:r>
      <w:r w:rsidRPr="00C210E3">
        <w:rPr>
          <w:rFonts w:ascii="Times New Roman" w:eastAsiaTheme="minorHAnsi" w:hAnsi="Times New Roman" w:cs="Times New Roman"/>
          <w:color w:val="000000"/>
          <w:szCs w:val="24"/>
          <w:lang w:val="fr-FR"/>
        </w:rPr>
        <w:t>Aquila à l</w:t>
      </w:r>
      <w:r w:rsidR="00F21895">
        <w:rPr>
          <w:rFonts w:ascii="Times New Roman" w:eastAsiaTheme="minorHAnsi" w:hAnsi="Times New Roman" w:cs="Times New Roman"/>
          <w:color w:val="000000"/>
          <w:szCs w:val="24"/>
          <w:lang w:val="fr-FR"/>
        </w:rPr>
        <w:t>’</w:t>
      </w:r>
      <w:r w:rsidRPr="00C210E3">
        <w:rPr>
          <w:rFonts w:ascii="Times New Roman" w:eastAsiaTheme="minorHAnsi" w:hAnsi="Times New Roman" w:cs="Times New Roman"/>
          <w:color w:val="000000"/>
          <w:szCs w:val="24"/>
          <w:lang w:val="fr-FR"/>
        </w:rPr>
        <w:t>encontre de l</w:t>
      </w:r>
      <w:r w:rsidR="00F21895">
        <w:rPr>
          <w:rFonts w:ascii="Times New Roman" w:eastAsiaTheme="minorHAnsi" w:hAnsi="Times New Roman" w:cs="Times New Roman"/>
          <w:color w:val="000000"/>
          <w:szCs w:val="24"/>
          <w:lang w:val="fr-FR"/>
        </w:rPr>
        <w:t>’</w:t>
      </w:r>
      <w:r w:rsidRPr="00C210E3">
        <w:rPr>
          <w:rFonts w:ascii="Times New Roman" w:eastAsiaTheme="minorHAnsi" w:hAnsi="Times New Roman" w:cs="Times New Roman"/>
          <w:color w:val="000000"/>
          <w:szCs w:val="24"/>
          <w:lang w:val="fr-FR"/>
        </w:rPr>
        <w:t xml:space="preserve">arrêté du 30 juillet 1998, rejeté le 19 janvier 1999, les motifs indiqués par le </w:t>
      </w:r>
      <w:r>
        <w:rPr>
          <w:rFonts w:ascii="Times New Roman" w:eastAsiaTheme="minorHAnsi" w:hAnsi="Times New Roman" w:cs="Times New Roman"/>
          <w:color w:val="000000"/>
          <w:szCs w:val="24"/>
          <w:lang w:val="fr-FR"/>
        </w:rPr>
        <w:t>M</w:t>
      </w:r>
      <w:r w:rsidRPr="00C210E3">
        <w:rPr>
          <w:rFonts w:ascii="Times New Roman" w:eastAsiaTheme="minorHAnsi" w:hAnsi="Times New Roman" w:cs="Times New Roman"/>
          <w:color w:val="000000"/>
          <w:szCs w:val="24"/>
          <w:lang w:val="fr-FR"/>
        </w:rPr>
        <w:t>inistre justifiant pleinement l</w:t>
      </w:r>
      <w:r w:rsidR="00F21895">
        <w:rPr>
          <w:rFonts w:ascii="Times New Roman" w:eastAsiaTheme="minorHAnsi" w:hAnsi="Times New Roman" w:cs="Times New Roman"/>
          <w:color w:val="000000"/>
          <w:szCs w:val="24"/>
          <w:lang w:val="fr-FR"/>
        </w:rPr>
        <w:t>’</w:t>
      </w:r>
      <w:r w:rsidRPr="00C210E3">
        <w:rPr>
          <w:rFonts w:ascii="Times New Roman" w:eastAsiaTheme="minorHAnsi" w:hAnsi="Times New Roman" w:cs="Times New Roman"/>
          <w:color w:val="000000"/>
          <w:szCs w:val="24"/>
          <w:lang w:val="fr-FR"/>
        </w:rPr>
        <w:t>application du régime spécial (la juridiction relevait, entre autres, que le requérant avait écopé de 10</w:t>
      </w:r>
      <w:r>
        <w:rPr>
          <w:rFonts w:ascii="Times New Roman" w:eastAsiaTheme="minorHAnsi" w:hAnsi="Times New Roman" w:cs="Times New Roman"/>
          <w:color w:val="000000"/>
          <w:szCs w:val="24"/>
          <w:lang w:val="fr-FR"/>
        </w:rPr>
        <w:t> </w:t>
      </w:r>
      <w:r w:rsidRPr="00C210E3">
        <w:rPr>
          <w:rFonts w:ascii="Times New Roman" w:eastAsiaTheme="minorHAnsi" w:hAnsi="Times New Roman" w:cs="Times New Roman"/>
          <w:color w:val="000000"/>
          <w:szCs w:val="24"/>
          <w:lang w:val="fr-FR"/>
        </w:rPr>
        <w:t>condamnations à perpétuité - dont 4 définitives -, et était accusé de faits très graves dans le cadre de 10 procédures pendantes en première instance) ;</w:t>
      </w:r>
    </w:p>
    <w:p w:rsidR="006F453D" w:rsidRPr="00C210E3" w:rsidRDefault="006F453D" w:rsidP="006F453D">
      <w:pPr>
        <w:pStyle w:val="Paragrafoelenco"/>
        <w:numPr>
          <w:ilvl w:val="0"/>
          <w:numId w:val="23"/>
        </w:numPr>
        <w:autoSpaceDE w:val="0"/>
        <w:autoSpaceDN w:val="0"/>
        <w:adjustRightInd w:val="0"/>
        <w:ind w:left="284" w:hanging="294"/>
        <w:rPr>
          <w:rFonts w:ascii="Times New Roman" w:eastAsiaTheme="minorHAnsi" w:hAnsi="Times New Roman" w:cs="Times New Roman"/>
          <w:color w:val="000000"/>
          <w:szCs w:val="24"/>
          <w:lang w:val="fr-FR"/>
        </w:rPr>
      </w:pPr>
      <w:r w:rsidRPr="00C210E3">
        <w:rPr>
          <w:rFonts w:ascii="Times New Roman" w:eastAsiaTheme="minorHAnsi" w:hAnsi="Times New Roman" w:cs="Times New Roman"/>
          <w:color w:val="000000"/>
          <w:szCs w:val="24"/>
          <w:lang w:val="fr-FR"/>
        </w:rPr>
        <w:t>recours à une date non précisée devant</w:t>
      </w:r>
      <w:r>
        <w:rPr>
          <w:rFonts w:ascii="Times New Roman" w:eastAsiaTheme="minorHAnsi" w:hAnsi="Times New Roman" w:cs="Times New Roman"/>
          <w:color w:val="000000"/>
          <w:szCs w:val="24"/>
          <w:lang w:val="fr-FR"/>
        </w:rPr>
        <w:t xml:space="preserve"> le TAP de L</w:t>
      </w:r>
      <w:r w:rsidR="00F21895">
        <w:rPr>
          <w:rFonts w:ascii="Times New Roman" w:eastAsiaTheme="minorHAnsi" w:hAnsi="Times New Roman" w:cs="Times New Roman"/>
          <w:color w:val="000000"/>
          <w:szCs w:val="24"/>
          <w:lang w:val="fr-FR"/>
        </w:rPr>
        <w:t>’</w:t>
      </w:r>
      <w:r>
        <w:rPr>
          <w:rFonts w:ascii="Times New Roman" w:eastAsiaTheme="minorHAnsi" w:hAnsi="Times New Roman" w:cs="Times New Roman"/>
          <w:color w:val="000000"/>
          <w:szCs w:val="24"/>
          <w:lang w:val="fr-FR"/>
        </w:rPr>
        <w:t>Aquila à l</w:t>
      </w:r>
      <w:r w:rsidR="00F21895">
        <w:rPr>
          <w:rFonts w:ascii="Times New Roman" w:eastAsiaTheme="minorHAnsi" w:hAnsi="Times New Roman" w:cs="Times New Roman"/>
          <w:color w:val="000000"/>
          <w:szCs w:val="24"/>
          <w:lang w:val="fr-FR"/>
        </w:rPr>
        <w:t>’</w:t>
      </w:r>
      <w:r>
        <w:rPr>
          <w:rFonts w:ascii="Times New Roman" w:eastAsiaTheme="minorHAnsi" w:hAnsi="Times New Roman" w:cs="Times New Roman"/>
          <w:color w:val="000000"/>
          <w:szCs w:val="24"/>
          <w:lang w:val="fr-FR"/>
        </w:rPr>
        <w:t>encontr</w:t>
      </w:r>
      <w:r w:rsidRPr="00C210E3">
        <w:rPr>
          <w:rFonts w:ascii="Times New Roman" w:eastAsiaTheme="minorHAnsi" w:hAnsi="Times New Roman" w:cs="Times New Roman"/>
          <w:color w:val="000000"/>
          <w:szCs w:val="24"/>
          <w:lang w:val="fr-FR"/>
        </w:rPr>
        <w:t>e de l</w:t>
      </w:r>
      <w:r w:rsidR="00F21895">
        <w:rPr>
          <w:rFonts w:ascii="Times New Roman" w:eastAsiaTheme="minorHAnsi" w:hAnsi="Times New Roman" w:cs="Times New Roman"/>
          <w:color w:val="000000"/>
          <w:szCs w:val="24"/>
          <w:lang w:val="fr-FR"/>
        </w:rPr>
        <w:t>’</w:t>
      </w:r>
      <w:r w:rsidRPr="00C210E3">
        <w:rPr>
          <w:rFonts w:ascii="Times New Roman" w:eastAsiaTheme="minorHAnsi" w:hAnsi="Times New Roman" w:cs="Times New Roman"/>
          <w:color w:val="000000"/>
          <w:szCs w:val="24"/>
          <w:lang w:val="fr-FR"/>
        </w:rPr>
        <w:t xml:space="preserve">arrêté du 22 juillet 1999, rejeté le 17 décembre 1999, les motifs indiqués par le </w:t>
      </w:r>
      <w:r>
        <w:rPr>
          <w:rFonts w:ascii="Times New Roman" w:eastAsiaTheme="minorHAnsi" w:hAnsi="Times New Roman" w:cs="Times New Roman"/>
          <w:color w:val="000000"/>
          <w:szCs w:val="24"/>
          <w:lang w:val="fr-FR"/>
        </w:rPr>
        <w:t>M</w:t>
      </w:r>
      <w:r w:rsidRPr="00C210E3">
        <w:rPr>
          <w:rFonts w:ascii="Times New Roman" w:eastAsiaTheme="minorHAnsi" w:hAnsi="Times New Roman" w:cs="Times New Roman"/>
          <w:color w:val="000000"/>
          <w:szCs w:val="24"/>
          <w:lang w:val="fr-FR"/>
        </w:rPr>
        <w:t>inistre justifiant pleinement l</w:t>
      </w:r>
      <w:r w:rsidR="00F21895">
        <w:rPr>
          <w:rFonts w:ascii="Times New Roman" w:eastAsiaTheme="minorHAnsi" w:hAnsi="Times New Roman" w:cs="Times New Roman"/>
          <w:color w:val="000000"/>
          <w:szCs w:val="24"/>
          <w:lang w:val="fr-FR"/>
        </w:rPr>
        <w:t>’</w:t>
      </w:r>
      <w:r w:rsidRPr="00C210E3">
        <w:rPr>
          <w:rFonts w:ascii="Times New Roman" w:eastAsiaTheme="minorHAnsi" w:hAnsi="Times New Roman" w:cs="Times New Roman"/>
          <w:color w:val="000000"/>
          <w:szCs w:val="24"/>
          <w:lang w:val="fr-FR"/>
        </w:rPr>
        <w:t>application du régime spécial (la juridiction relevait, entre autres, que le requérant avait écopé de 11 condamnations à perpétuité, dont 8</w:t>
      </w:r>
      <w:r>
        <w:rPr>
          <w:rFonts w:ascii="Times New Roman" w:eastAsiaTheme="minorHAnsi" w:hAnsi="Times New Roman" w:cs="Times New Roman"/>
          <w:color w:val="000000"/>
          <w:szCs w:val="24"/>
          <w:lang w:val="fr-FR"/>
        </w:rPr>
        <w:t> </w:t>
      </w:r>
      <w:r w:rsidRPr="00C210E3">
        <w:rPr>
          <w:rFonts w:ascii="Times New Roman" w:eastAsiaTheme="minorHAnsi" w:hAnsi="Times New Roman" w:cs="Times New Roman"/>
          <w:color w:val="000000"/>
          <w:szCs w:val="24"/>
          <w:lang w:val="fr-FR"/>
        </w:rPr>
        <w:t>définitives) ;</w:t>
      </w:r>
    </w:p>
    <w:p w:rsidR="006F453D" w:rsidRPr="00C210E3" w:rsidRDefault="006F453D" w:rsidP="006F453D">
      <w:pPr>
        <w:pStyle w:val="Paragrafoelenco"/>
        <w:numPr>
          <w:ilvl w:val="0"/>
          <w:numId w:val="23"/>
        </w:numPr>
        <w:autoSpaceDE w:val="0"/>
        <w:autoSpaceDN w:val="0"/>
        <w:adjustRightInd w:val="0"/>
        <w:ind w:left="284" w:hanging="294"/>
        <w:rPr>
          <w:rFonts w:ascii="Times New Roman" w:eastAsiaTheme="minorHAnsi" w:hAnsi="Times New Roman" w:cs="Times New Roman"/>
          <w:color w:val="000000"/>
          <w:szCs w:val="24"/>
          <w:lang w:val="fr-FR"/>
        </w:rPr>
      </w:pPr>
      <w:r w:rsidRPr="00C210E3">
        <w:rPr>
          <w:rFonts w:ascii="Times New Roman" w:eastAsiaTheme="minorHAnsi" w:hAnsi="Times New Roman" w:cs="Times New Roman"/>
          <w:color w:val="000000"/>
          <w:szCs w:val="24"/>
          <w:lang w:val="fr-FR"/>
        </w:rPr>
        <w:t>recours à une date non précisée devant le TAP de L</w:t>
      </w:r>
      <w:r w:rsidR="00F21895">
        <w:rPr>
          <w:rFonts w:ascii="Times New Roman" w:eastAsiaTheme="minorHAnsi" w:hAnsi="Times New Roman" w:cs="Times New Roman"/>
          <w:color w:val="000000"/>
          <w:szCs w:val="24"/>
          <w:lang w:val="fr-FR"/>
        </w:rPr>
        <w:t>’</w:t>
      </w:r>
      <w:r w:rsidRPr="00C210E3">
        <w:rPr>
          <w:rFonts w:ascii="Times New Roman" w:eastAsiaTheme="minorHAnsi" w:hAnsi="Times New Roman" w:cs="Times New Roman"/>
          <w:color w:val="000000"/>
          <w:szCs w:val="24"/>
          <w:lang w:val="fr-FR"/>
        </w:rPr>
        <w:t>Aquila à l</w:t>
      </w:r>
      <w:r w:rsidR="00F21895">
        <w:rPr>
          <w:rFonts w:ascii="Times New Roman" w:eastAsiaTheme="minorHAnsi" w:hAnsi="Times New Roman" w:cs="Times New Roman"/>
          <w:color w:val="000000"/>
          <w:szCs w:val="24"/>
          <w:lang w:val="fr-FR"/>
        </w:rPr>
        <w:t>’</w:t>
      </w:r>
      <w:r w:rsidRPr="00C210E3">
        <w:rPr>
          <w:rFonts w:ascii="Times New Roman" w:eastAsiaTheme="minorHAnsi" w:hAnsi="Times New Roman" w:cs="Times New Roman"/>
          <w:color w:val="000000"/>
          <w:szCs w:val="24"/>
          <w:lang w:val="fr-FR"/>
        </w:rPr>
        <w:t>encontre de l</w:t>
      </w:r>
      <w:r w:rsidR="00F21895">
        <w:rPr>
          <w:rFonts w:ascii="Times New Roman" w:eastAsiaTheme="minorHAnsi" w:hAnsi="Times New Roman" w:cs="Times New Roman"/>
          <w:color w:val="000000"/>
          <w:szCs w:val="24"/>
          <w:lang w:val="fr-FR"/>
        </w:rPr>
        <w:t>’</w:t>
      </w:r>
      <w:r w:rsidRPr="00C210E3">
        <w:rPr>
          <w:rFonts w:ascii="Times New Roman" w:eastAsiaTheme="minorHAnsi" w:hAnsi="Times New Roman" w:cs="Times New Roman"/>
          <w:color w:val="000000"/>
          <w:szCs w:val="24"/>
          <w:lang w:val="fr-FR"/>
        </w:rPr>
        <w:t>arrêté du 30 décembre 1999 et concernant les modalités des visites des membres de la famille, rejeté le 11</w:t>
      </w:r>
      <w:r>
        <w:rPr>
          <w:rFonts w:ascii="Times New Roman" w:eastAsiaTheme="minorHAnsi" w:hAnsi="Times New Roman" w:cs="Times New Roman"/>
          <w:color w:val="000000"/>
          <w:szCs w:val="24"/>
          <w:lang w:val="fr-FR"/>
        </w:rPr>
        <w:t> </w:t>
      </w:r>
      <w:r w:rsidRPr="00C210E3">
        <w:rPr>
          <w:rFonts w:ascii="Times New Roman" w:eastAsiaTheme="minorHAnsi" w:hAnsi="Times New Roman" w:cs="Times New Roman"/>
          <w:color w:val="000000"/>
          <w:szCs w:val="24"/>
          <w:lang w:val="fr-FR"/>
        </w:rPr>
        <w:t>février</w:t>
      </w:r>
      <w:r>
        <w:rPr>
          <w:rFonts w:ascii="Times New Roman" w:eastAsiaTheme="minorHAnsi" w:hAnsi="Times New Roman" w:cs="Times New Roman"/>
          <w:color w:val="000000"/>
          <w:szCs w:val="24"/>
          <w:lang w:val="fr-FR"/>
        </w:rPr>
        <w:t> </w:t>
      </w:r>
      <w:r w:rsidRPr="00C210E3">
        <w:rPr>
          <w:rFonts w:ascii="Times New Roman" w:eastAsiaTheme="minorHAnsi" w:hAnsi="Times New Roman" w:cs="Times New Roman"/>
          <w:color w:val="000000"/>
          <w:szCs w:val="24"/>
          <w:lang w:val="fr-FR"/>
        </w:rPr>
        <w:t>2000, le pénitencier de L</w:t>
      </w:r>
      <w:r w:rsidR="00F21895">
        <w:rPr>
          <w:rFonts w:ascii="Times New Roman" w:eastAsiaTheme="minorHAnsi" w:hAnsi="Times New Roman" w:cs="Times New Roman"/>
          <w:color w:val="000000"/>
          <w:szCs w:val="24"/>
          <w:lang w:val="fr-FR"/>
        </w:rPr>
        <w:t>’</w:t>
      </w:r>
      <w:r w:rsidRPr="00C210E3">
        <w:rPr>
          <w:rFonts w:ascii="Times New Roman" w:eastAsiaTheme="minorHAnsi" w:hAnsi="Times New Roman" w:cs="Times New Roman"/>
          <w:color w:val="000000"/>
          <w:szCs w:val="24"/>
          <w:lang w:val="fr-FR"/>
        </w:rPr>
        <w:t>Aquila n</w:t>
      </w:r>
      <w:r w:rsidR="00F21895">
        <w:rPr>
          <w:rFonts w:ascii="Times New Roman" w:eastAsiaTheme="minorHAnsi" w:hAnsi="Times New Roman" w:cs="Times New Roman"/>
          <w:color w:val="000000"/>
          <w:szCs w:val="24"/>
          <w:lang w:val="fr-FR"/>
        </w:rPr>
        <w:t>’</w:t>
      </w:r>
      <w:r w:rsidRPr="00C210E3">
        <w:rPr>
          <w:rFonts w:ascii="Times New Roman" w:eastAsiaTheme="minorHAnsi" w:hAnsi="Times New Roman" w:cs="Times New Roman"/>
          <w:color w:val="000000"/>
          <w:szCs w:val="24"/>
          <w:lang w:val="fr-FR"/>
        </w:rPr>
        <w:t>étant pas équipé du matériel nécessaire pour permettre l</w:t>
      </w:r>
      <w:r w:rsidR="00F21895">
        <w:rPr>
          <w:rFonts w:ascii="Times New Roman" w:eastAsiaTheme="minorHAnsi" w:hAnsi="Times New Roman" w:cs="Times New Roman"/>
          <w:color w:val="000000"/>
          <w:szCs w:val="24"/>
          <w:lang w:val="fr-FR"/>
        </w:rPr>
        <w:t>’</w:t>
      </w:r>
      <w:r w:rsidRPr="00C210E3">
        <w:rPr>
          <w:rFonts w:ascii="Times New Roman" w:eastAsiaTheme="minorHAnsi" w:hAnsi="Times New Roman" w:cs="Times New Roman"/>
          <w:color w:val="000000"/>
          <w:szCs w:val="24"/>
          <w:lang w:val="fr-FR"/>
        </w:rPr>
        <w:t>enregistrement vidéo des rencontres sans parois de séparation entre les détenus et les visiteurs ;</w:t>
      </w:r>
    </w:p>
    <w:p w:rsidR="006F453D" w:rsidRPr="00C210E3" w:rsidRDefault="006F453D" w:rsidP="006F453D">
      <w:pPr>
        <w:pStyle w:val="Paragrafoelenco"/>
        <w:numPr>
          <w:ilvl w:val="0"/>
          <w:numId w:val="23"/>
        </w:numPr>
        <w:autoSpaceDE w:val="0"/>
        <w:autoSpaceDN w:val="0"/>
        <w:adjustRightInd w:val="0"/>
        <w:ind w:left="284" w:hanging="294"/>
        <w:rPr>
          <w:rFonts w:ascii="Times New Roman" w:eastAsiaTheme="minorHAnsi" w:hAnsi="Times New Roman" w:cs="Times New Roman"/>
          <w:color w:val="000000"/>
          <w:szCs w:val="24"/>
          <w:lang w:val="fr-FR"/>
        </w:rPr>
      </w:pPr>
      <w:r w:rsidRPr="00C210E3">
        <w:rPr>
          <w:rFonts w:ascii="Times New Roman" w:eastAsiaTheme="minorHAnsi" w:hAnsi="Times New Roman" w:cs="Times New Roman"/>
          <w:color w:val="000000"/>
          <w:szCs w:val="24"/>
          <w:lang w:val="fr-FR"/>
        </w:rPr>
        <w:lastRenderedPageBreak/>
        <w:t>recours à une date non précisée devant le TAP de L</w:t>
      </w:r>
      <w:r w:rsidR="00F21895">
        <w:rPr>
          <w:rFonts w:ascii="Times New Roman" w:eastAsiaTheme="minorHAnsi" w:hAnsi="Times New Roman" w:cs="Times New Roman"/>
          <w:color w:val="000000"/>
          <w:szCs w:val="24"/>
          <w:lang w:val="fr-FR"/>
        </w:rPr>
        <w:t>’</w:t>
      </w:r>
      <w:r w:rsidRPr="00C210E3">
        <w:rPr>
          <w:rFonts w:ascii="Times New Roman" w:eastAsiaTheme="minorHAnsi" w:hAnsi="Times New Roman" w:cs="Times New Roman"/>
          <w:color w:val="000000"/>
          <w:szCs w:val="24"/>
          <w:lang w:val="fr-FR"/>
        </w:rPr>
        <w:t>Aquila à l</w:t>
      </w:r>
      <w:r w:rsidR="00F21895">
        <w:rPr>
          <w:rFonts w:ascii="Times New Roman" w:eastAsiaTheme="minorHAnsi" w:hAnsi="Times New Roman" w:cs="Times New Roman"/>
          <w:color w:val="000000"/>
          <w:szCs w:val="24"/>
          <w:lang w:val="fr-FR"/>
        </w:rPr>
        <w:t>’</w:t>
      </w:r>
      <w:r w:rsidRPr="00C210E3">
        <w:rPr>
          <w:rFonts w:ascii="Times New Roman" w:eastAsiaTheme="minorHAnsi" w:hAnsi="Times New Roman" w:cs="Times New Roman"/>
          <w:color w:val="000000"/>
          <w:szCs w:val="24"/>
          <w:lang w:val="fr-FR"/>
        </w:rPr>
        <w:t>encontre de l</w:t>
      </w:r>
      <w:r w:rsidR="00F21895">
        <w:rPr>
          <w:rFonts w:ascii="Times New Roman" w:eastAsiaTheme="minorHAnsi" w:hAnsi="Times New Roman" w:cs="Times New Roman"/>
          <w:color w:val="000000"/>
          <w:szCs w:val="24"/>
          <w:lang w:val="fr-FR"/>
        </w:rPr>
        <w:t>’</w:t>
      </w:r>
      <w:r w:rsidRPr="00C210E3">
        <w:rPr>
          <w:rFonts w:ascii="Times New Roman" w:eastAsiaTheme="minorHAnsi" w:hAnsi="Times New Roman" w:cs="Times New Roman"/>
          <w:color w:val="000000"/>
          <w:szCs w:val="24"/>
          <w:lang w:val="fr-FR"/>
        </w:rPr>
        <w:t xml:space="preserve">arrêté du 23 décembre 2000, rejeté le 19 avril 2001, les motifs indiqués par le </w:t>
      </w:r>
      <w:r>
        <w:rPr>
          <w:rFonts w:ascii="Times New Roman" w:eastAsiaTheme="minorHAnsi" w:hAnsi="Times New Roman" w:cs="Times New Roman"/>
          <w:color w:val="000000"/>
          <w:szCs w:val="24"/>
          <w:lang w:val="fr-FR"/>
        </w:rPr>
        <w:t>M</w:t>
      </w:r>
      <w:r w:rsidRPr="00C210E3">
        <w:rPr>
          <w:rFonts w:ascii="Times New Roman" w:eastAsiaTheme="minorHAnsi" w:hAnsi="Times New Roman" w:cs="Times New Roman"/>
          <w:color w:val="000000"/>
          <w:szCs w:val="24"/>
          <w:lang w:val="fr-FR"/>
        </w:rPr>
        <w:t>inistre justifiant pleinement l</w:t>
      </w:r>
      <w:r w:rsidR="00F21895">
        <w:rPr>
          <w:rFonts w:ascii="Times New Roman" w:eastAsiaTheme="minorHAnsi" w:hAnsi="Times New Roman" w:cs="Times New Roman"/>
          <w:color w:val="000000"/>
          <w:szCs w:val="24"/>
          <w:lang w:val="fr-FR"/>
        </w:rPr>
        <w:t>’</w:t>
      </w:r>
      <w:r w:rsidRPr="00C210E3">
        <w:rPr>
          <w:rFonts w:ascii="Times New Roman" w:eastAsiaTheme="minorHAnsi" w:hAnsi="Times New Roman" w:cs="Times New Roman"/>
          <w:color w:val="000000"/>
          <w:szCs w:val="24"/>
          <w:lang w:val="fr-FR"/>
        </w:rPr>
        <w:t>application du régime spécial (la juridiction relevait, entre autres, que le requérant avait écopé de 12 condamnations à perpétuité, dont 8</w:t>
      </w:r>
      <w:r>
        <w:rPr>
          <w:rFonts w:ascii="Times New Roman" w:eastAsiaTheme="minorHAnsi" w:hAnsi="Times New Roman" w:cs="Times New Roman"/>
          <w:color w:val="000000"/>
          <w:szCs w:val="24"/>
          <w:lang w:val="fr-FR"/>
        </w:rPr>
        <w:t> </w:t>
      </w:r>
      <w:r w:rsidRPr="00C210E3">
        <w:rPr>
          <w:rFonts w:ascii="Times New Roman" w:eastAsiaTheme="minorHAnsi" w:hAnsi="Times New Roman" w:cs="Times New Roman"/>
          <w:color w:val="000000"/>
          <w:szCs w:val="24"/>
          <w:lang w:val="fr-FR"/>
        </w:rPr>
        <w:t>définitives) ;</w:t>
      </w:r>
    </w:p>
    <w:p w:rsidR="006F453D" w:rsidRPr="00C210E3" w:rsidRDefault="006F453D" w:rsidP="006F453D">
      <w:pPr>
        <w:pStyle w:val="Paragrafoelenco"/>
        <w:numPr>
          <w:ilvl w:val="0"/>
          <w:numId w:val="23"/>
        </w:numPr>
        <w:autoSpaceDE w:val="0"/>
        <w:autoSpaceDN w:val="0"/>
        <w:adjustRightInd w:val="0"/>
        <w:ind w:left="284" w:hanging="294"/>
        <w:rPr>
          <w:rFonts w:ascii="Times New Roman" w:eastAsiaTheme="minorHAnsi" w:hAnsi="Times New Roman" w:cs="Times New Roman"/>
          <w:color w:val="000000"/>
          <w:szCs w:val="24"/>
          <w:lang w:val="fr-FR"/>
        </w:rPr>
      </w:pPr>
      <w:r w:rsidRPr="00C210E3">
        <w:rPr>
          <w:rFonts w:ascii="Times New Roman" w:eastAsiaTheme="minorHAnsi" w:hAnsi="Times New Roman" w:cs="Times New Roman"/>
          <w:color w:val="000000"/>
          <w:szCs w:val="24"/>
          <w:lang w:val="fr-FR"/>
        </w:rPr>
        <w:t>recours à une date non précisée devant le TAP de Trieste à l</w:t>
      </w:r>
      <w:r w:rsidR="00F21895">
        <w:rPr>
          <w:rFonts w:ascii="Times New Roman" w:eastAsiaTheme="minorHAnsi" w:hAnsi="Times New Roman" w:cs="Times New Roman"/>
          <w:color w:val="000000"/>
          <w:szCs w:val="24"/>
          <w:lang w:val="fr-FR"/>
        </w:rPr>
        <w:t>’</w:t>
      </w:r>
      <w:r w:rsidRPr="00C210E3">
        <w:rPr>
          <w:rFonts w:ascii="Times New Roman" w:eastAsiaTheme="minorHAnsi" w:hAnsi="Times New Roman" w:cs="Times New Roman"/>
          <w:color w:val="000000"/>
          <w:szCs w:val="24"/>
          <w:lang w:val="fr-FR"/>
        </w:rPr>
        <w:t>encontre de l</w:t>
      </w:r>
      <w:r w:rsidR="00F21895">
        <w:rPr>
          <w:rFonts w:ascii="Times New Roman" w:eastAsiaTheme="minorHAnsi" w:hAnsi="Times New Roman" w:cs="Times New Roman"/>
          <w:color w:val="000000"/>
          <w:szCs w:val="24"/>
          <w:lang w:val="fr-FR"/>
        </w:rPr>
        <w:t>’</w:t>
      </w:r>
      <w:r w:rsidRPr="00C210E3">
        <w:rPr>
          <w:rFonts w:ascii="Times New Roman" w:eastAsiaTheme="minorHAnsi" w:hAnsi="Times New Roman" w:cs="Times New Roman"/>
          <w:color w:val="000000"/>
          <w:szCs w:val="24"/>
          <w:lang w:val="fr-FR"/>
        </w:rPr>
        <w:t>arrêté du 21 juin 2001, rejeté le 2 octob</w:t>
      </w:r>
      <w:r>
        <w:rPr>
          <w:rFonts w:ascii="Times New Roman" w:eastAsiaTheme="minorHAnsi" w:hAnsi="Times New Roman" w:cs="Times New Roman"/>
          <w:color w:val="000000"/>
          <w:szCs w:val="24"/>
          <w:lang w:val="fr-FR"/>
        </w:rPr>
        <w:t>re, les motifs indiqués par le M</w:t>
      </w:r>
      <w:r w:rsidRPr="00C210E3">
        <w:rPr>
          <w:rFonts w:ascii="Times New Roman" w:eastAsiaTheme="minorHAnsi" w:hAnsi="Times New Roman" w:cs="Times New Roman"/>
          <w:color w:val="000000"/>
          <w:szCs w:val="24"/>
          <w:lang w:val="fr-FR"/>
        </w:rPr>
        <w:t>inistre justifiant pleinement l</w:t>
      </w:r>
      <w:r w:rsidR="00F21895">
        <w:rPr>
          <w:rFonts w:ascii="Times New Roman" w:eastAsiaTheme="minorHAnsi" w:hAnsi="Times New Roman" w:cs="Times New Roman"/>
          <w:color w:val="000000"/>
          <w:szCs w:val="24"/>
          <w:lang w:val="fr-FR"/>
        </w:rPr>
        <w:t>’</w:t>
      </w:r>
      <w:r w:rsidRPr="00C210E3">
        <w:rPr>
          <w:rFonts w:ascii="Times New Roman" w:eastAsiaTheme="minorHAnsi" w:hAnsi="Times New Roman" w:cs="Times New Roman"/>
          <w:color w:val="000000"/>
          <w:szCs w:val="24"/>
          <w:lang w:val="fr-FR"/>
        </w:rPr>
        <w:t>application du régime spécial (la</w:t>
      </w:r>
      <w:r>
        <w:rPr>
          <w:rFonts w:ascii="Times New Roman" w:eastAsiaTheme="minorHAnsi" w:hAnsi="Times New Roman" w:cs="Times New Roman"/>
          <w:color w:val="000000"/>
          <w:szCs w:val="24"/>
          <w:lang w:val="fr-FR"/>
        </w:rPr>
        <w:t> </w:t>
      </w:r>
      <w:r w:rsidRPr="00C210E3">
        <w:rPr>
          <w:rFonts w:ascii="Times New Roman" w:eastAsiaTheme="minorHAnsi" w:hAnsi="Times New Roman" w:cs="Times New Roman"/>
          <w:color w:val="000000"/>
          <w:szCs w:val="24"/>
          <w:lang w:val="fr-FR"/>
        </w:rPr>
        <w:t>juridiction relevait, entre autres, les 55 procédures pénales diligentées conte le requérant) ;</w:t>
      </w:r>
    </w:p>
    <w:p w:rsidR="006F453D" w:rsidRDefault="006F453D" w:rsidP="006F453D">
      <w:pPr>
        <w:pStyle w:val="Paragrafoelenco"/>
        <w:numPr>
          <w:ilvl w:val="0"/>
          <w:numId w:val="23"/>
        </w:numPr>
        <w:autoSpaceDE w:val="0"/>
        <w:autoSpaceDN w:val="0"/>
        <w:adjustRightInd w:val="0"/>
        <w:ind w:left="284" w:hanging="294"/>
        <w:rPr>
          <w:rFonts w:ascii="Times New Roman" w:eastAsiaTheme="minorHAnsi" w:hAnsi="Times New Roman" w:cs="Times New Roman"/>
          <w:color w:val="000000"/>
          <w:szCs w:val="24"/>
          <w:lang w:val="fr-FR"/>
        </w:rPr>
      </w:pPr>
      <w:r w:rsidRPr="00C210E3">
        <w:rPr>
          <w:rFonts w:ascii="Times New Roman" w:eastAsiaTheme="minorHAnsi" w:hAnsi="Times New Roman" w:cs="Times New Roman"/>
          <w:color w:val="000000"/>
          <w:szCs w:val="24"/>
          <w:lang w:val="fr-FR"/>
        </w:rPr>
        <w:t>recours du 22 juin 2002 devant le TAP de Trieste à l</w:t>
      </w:r>
      <w:r w:rsidR="00F21895">
        <w:rPr>
          <w:rFonts w:ascii="Times New Roman" w:eastAsiaTheme="minorHAnsi" w:hAnsi="Times New Roman" w:cs="Times New Roman"/>
          <w:color w:val="000000"/>
          <w:szCs w:val="24"/>
          <w:lang w:val="fr-FR"/>
        </w:rPr>
        <w:t>’</w:t>
      </w:r>
      <w:r w:rsidRPr="00C210E3">
        <w:rPr>
          <w:rFonts w:ascii="Times New Roman" w:eastAsiaTheme="minorHAnsi" w:hAnsi="Times New Roman" w:cs="Times New Roman"/>
          <w:color w:val="000000"/>
          <w:szCs w:val="24"/>
          <w:lang w:val="fr-FR"/>
        </w:rPr>
        <w:t>encontre de l</w:t>
      </w:r>
      <w:r w:rsidR="00F21895">
        <w:rPr>
          <w:rFonts w:ascii="Times New Roman" w:eastAsiaTheme="minorHAnsi" w:hAnsi="Times New Roman" w:cs="Times New Roman"/>
          <w:color w:val="000000"/>
          <w:szCs w:val="24"/>
          <w:lang w:val="fr-FR"/>
        </w:rPr>
        <w:t>’</w:t>
      </w:r>
      <w:r w:rsidRPr="00C210E3">
        <w:rPr>
          <w:rFonts w:ascii="Times New Roman" w:eastAsiaTheme="minorHAnsi" w:hAnsi="Times New Roman" w:cs="Times New Roman"/>
          <w:color w:val="000000"/>
          <w:szCs w:val="24"/>
          <w:lang w:val="fr-FR"/>
        </w:rPr>
        <w:t xml:space="preserve">arrêté du 17 juin 2002, rejeté le 3 septembre, les motifs indiqués par le </w:t>
      </w:r>
      <w:r>
        <w:rPr>
          <w:rFonts w:ascii="Times New Roman" w:eastAsiaTheme="minorHAnsi" w:hAnsi="Times New Roman" w:cs="Times New Roman"/>
          <w:color w:val="000000"/>
          <w:szCs w:val="24"/>
          <w:lang w:val="fr-FR"/>
        </w:rPr>
        <w:t>M</w:t>
      </w:r>
      <w:r w:rsidRPr="00C210E3">
        <w:rPr>
          <w:rFonts w:ascii="Times New Roman" w:eastAsiaTheme="minorHAnsi" w:hAnsi="Times New Roman" w:cs="Times New Roman"/>
          <w:color w:val="000000"/>
          <w:szCs w:val="24"/>
          <w:lang w:val="fr-FR"/>
        </w:rPr>
        <w:t>inistre justifiant pleinement l</w:t>
      </w:r>
      <w:r w:rsidR="00F21895">
        <w:rPr>
          <w:rFonts w:ascii="Times New Roman" w:eastAsiaTheme="minorHAnsi" w:hAnsi="Times New Roman" w:cs="Times New Roman"/>
          <w:color w:val="000000"/>
          <w:szCs w:val="24"/>
          <w:lang w:val="fr-FR"/>
        </w:rPr>
        <w:t>’</w:t>
      </w:r>
      <w:r w:rsidRPr="00C210E3">
        <w:rPr>
          <w:rFonts w:ascii="Times New Roman" w:eastAsiaTheme="minorHAnsi" w:hAnsi="Times New Roman" w:cs="Times New Roman"/>
          <w:color w:val="000000"/>
          <w:szCs w:val="24"/>
          <w:lang w:val="fr-FR"/>
        </w:rPr>
        <w:t>application du régime spécial.</w:t>
      </w:r>
    </w:p>
    <w:p w:rsidR="006F453D" w:rsidRPr="00C210E3" w:rsidRDefault="006F453D" w:rsidP="00BA19BF">
      <w:pPr>
        <w:pStyle w:val="ECHRPara"/>
        <w:rPr>
          <w:rFonts w:eastAsiaTheme="minorHAnsi"/>
          <w:lang w:val="fr-FR"/>
        </w:rPr>
      </w:pPr>
      <w:r>
        <w:rPr>
          <w:rFonts w:eastAsiaTheme="minorHAnsi"/>
          <w:lang w:val="fr-FR"/>
        </w:rPr>
        <w:t>11.  Le dossier montre,</w:t>
      </w:r>
      <w:r w:rsidRPr="00C210E3">
        <w:rPr>
          <w:rFonts w:eastAsiaTheme="minorHAnsi"/>
          <w:lang w:val="fr-FR"/>
        </w:rPr>
        <w:t xml:space="preserve"> en outre, que le requérant attaqua (à des dates non précisées) l</w:t>
      </w:r>
      <w:r w:rsidR="00F21895">
        <w:rPr>
          <w:rFonts w:eastAsiaTheme="minorHAnsi"/>
          <w:lang w:val="fr-FR"/>
        </w:rPr>
        <w:t>’</w:t>
      </w:r>
      <w:r w:rsidRPr="00C210E3">
        <w:rPr>
          <w:rFonts w:eastAsiaTheme="minorHAnsi"/>
          <w:lang w:val="fr-FR"/>
        </w:rPr>
        <w:t>arrêté du 23 décembre 2002 devant le TAP de Trieste et celui de Turin. La première juridiction rejeta le recours le 30 avril 2003 en estimant l</w:t>
      </w:r>
      <w:r w:rsidR="00F21895">
        <w:rPr>
          <w:rFonts w:eastAsiaTheme="minorHAnsi"/>
          <w:lang w:val="fr-FR"/>
        </w:rPr>
        <w:t>’</w:t>
      </w:r>
      <w:r w:rsidRPr="00C210E3">
        <w:rPr>
          <w:rFonts w:eastAsiaTheme="minorHAnsi"/>
          <w:lang w:val="fr-FR"/>
        </w:rPr>
        <w:t>application du régime spécial pleinement justifiée, la deuxième parvint à la même conclusion le 10 décembre 2003, mais en supprimant les limitations concernant le nombre de visites des membres de la famille du requérant et le nombre de colis pouvant être reçus par ce dernier.</w:t>
      </w:r>
    </w:p>
    <w:p w:rsidR="006F453D" w:rsidRDefault="006F453D" w:rsidP="00BA19BF">
      <w:pPr>
        <w:pStyle w:val="ECHRPara"/>
        <w:rPr>
          <w:rFonts w:eastAsiaTheme="minorHAnsi"/>
          <w:lang w:val="fr-FR"/>
        </w:rPr>
      </w:pPr>
      <w:r>
        <w:rPr>
          <w:rFonts w:eastAsiaTheme="minorHAnsi"/>
          <w:lang w:val="fr-FR"/>
        </w:rPr>
        <w:t>12.  </w:t>
      </w:r>
      <w:r w:rsidRPr="00C210E3">
        <w:rPr>
          <w:rFonts w:eastAsiaTheme="minorHAnsi"/>
          <w:lang w:val="fr-FR"/>
        </w:rPr>
        <w:t>Ces deux limitations furent néanmoins réintroduites avec l</w:t>
      </w:r>
      <w:r w:rsidR="00F21895">
        <w:rPr>
          <w:rFonts w:eastAsiaTheme="minorHAnsi"/>
          <w:lang w:val="fr-FR"/>
        </w:rPr>
        <w:t>’</w:t>
      </w:r>
      <w:r w:rsidRPr="00C210E3">
        <w:rPr>
          <w:rFonts w:eastAsiaTheme="minorHAnsi"/>
          <w:lang w:val="fr-FR"/>
        </w:rPr>
        <w:t>arrêté du 23 décembre 2003. Par une décision intégrative dudit arrêté, datée du 3 février 2004, le Ministre de la Justice précisa que la réintroduction des deux limitations était nécessaire compte tenu, d</w:t>
      </w:r>
      <w:r w:rsidR="00F21895">
        <w:rPr>
          <w:rFonts w:eastAsiaTheme="minorHAnsi"/>
          <w:lang w:val="fr-FR"/>
        </w:rPr>
        <w:t>’</w:t>
      </w:r>
      <w:r w:rsidRPr="00C210E3">
        <w:rPr>
          <w:rFonts w:eastAsiaTheme="minorHAnsi"/>
          <w:lang w:val="fr-FR"/>
        </w:rPr>
        <w:t>une part, de la dangerosité élevée du requérant qui justifiait de réduire au minimum les contacts avec l</w:t>
      </w:r>
      <w:r w:rsidR="00F21895">
        <w:rPr>
          <w:rFonts w:eastAsiaTheme="minorHAnsi"/>
          <w:lang w:val="fr-FR"/>
        </w:rPr>
        <w:t>’</w:t>
      </w:r>
      <w:r w:rsidRPr="00C210E3">
        <w:rPr>
          <w:rFonts w:eastAsiaTheme="minorHAnsi"/>
          <w:lang w:val="fr-FR"/>
        </w:rPr>
        <w:t>extérieur ; accorder le bénéfice de deux visites mensuelles et la possibilité de recevoir des colis sans aucune restriction aurait placé le requérant dans une position de supériorité par rapport aux autres détenus avec des conséquences graves pour l</w:t>
      </w:r>
      <w:r w:rsidR="00F21895">
        <w:rPr>
          <w:rFonts w:eastAsiaTheme="minorHAnsi"/>
          <w:lang w:val="fr-FR"/>
        </w:rPr>
        <w:t>’</w:t>
      </w:r>
      <w:r w:rsidRPr="00C210E3">
        <w:rPr>
          <w:rFonts w:eastAsiaTheme="minorHAnsi"/>
          <w:lang w:val="fr-FR"/>
        </w:rPr>
        <w:t>ordre et la sécurité de l</w:t>
      </w:r>
      <w:r w:rsidR="00F21895">
        <w:rPr>
          <w:rFonts w:eastAsiaTheme="minorHAnsi"/>
          <w:lang w:val="fr-FR"/>
        </w:rPr>
        <w:t>’</w:t>
      </w:r>
      <w:r w:rsidRPr="00C210E3">
        <w:rPr>
          <w:rFonts w:eastAsiaTheme="minorHAnsi"/>
          <w:lang w:val="fr-FR"/>
        </w:rPr>
        <w:t>établissement.</w:t>
      </w:r>
      <w:r>
        <w:rPr>
          <w:rFonts w:eastAsiaTheme="minorHAnsi"/>
          <w:lang w:val="fr-FR"/>
        </w:rPr>
        <w:t xml:space="preserve"> </w:t>
      </w:r>
      <w:r w:rsidRPr="00C210E3">
        <w:rPr>
          <w:rFonts w:eastAsiaTheme="minorHAnsi"/>
          <w:lang w:val="fr-FR"/>
        </w:rPr>
        <w:t>Deux</w:t>
      </w:r>
      <w:r>
        <w:rPr>
          <w:rFonts w:eastAsiaTheme="minorHAnsi"/>
          <w:lang w:val="fr-FR"/>
        </w:rPr>
        <w:t> </w:t>
      </w:r>
      <w:r w:rsidRPr="00C210E3">
        <w:rPr>
          <w:rFonts w:eastAsiaTheme="minorHAnsi"/>
          <w:lang w:val="fr-FR"/>
        </w:rPr>
        <w:t>pourvois en cassation (à l</w:t>
      </w:r>
      <w:r w:rsidR="00F21895">
        <w:rPr>
          <w:rFonts w:eastAsiaTheme="minorHAnsi"/>
          <w:lang w:val="fr-FR"/>
        </w:rPr>
        <w:t>’</w:t>
      </w:r>
      <w:r w:rsidRPr="00C210E3">
        <w:rPr>
          <w:rFonts w:eastAsiaTheme="minorHAnsi"/>
          <w:lang w:val="fr-FR"/>
        </w:rPr>
        <w:t>issue inconnue de la part de la Cour) furent introduits par le requérant contre les décisions de rejet du TAP de Trieste du 3 septembre 2002 et du 30 avril 2003.</w:t>
      </w:r>
    </w:p>
    <w:p w:rsidR="006F453D" w:rsidRDefault="006F453D" w:rsidP="00BA19BF">
      <w:pPr>
        <w:pStyle w:val="ECHRHeading3"/>
        <w:rPr>
          <w:rFonts w:eastAsiaTheme="minorHAnsi"/>
          <w:lang w:val="fr-FR"/>
        </w:rPr>
      </w:pPr>
      <w:r w:rsidRPr="00C210E3">
        <w:rPr>
          <w:rFonts w:eastAsiaTheme="minorHAnsi"/>
          <w:lang w:val="fr-FR"/>
        </w:rPr>
        <w:t>3.  Le contrôle de la correspondance du requérant</w:t>
      </w:r>
    </w:p>
    <w:p w:rsidR="006F453D" w:rsidRPr="00C210E3" w:rsidRDefault="006F453D" w:rsidP="00BA19BF">
      <w:pPr>
        <w:pStyle w:val="ECHRPara"/>
        <w:rPr>
          <w:rFonts w:eastAsiaTheme="minorHAnsi"/>
          <w:lang w:val="fr-FR"/>
        </w:rPr>
      </w:pPr>
      <w:r>
        <w:rPr>
          <w:rFonts w:eastAsiaTheme="minorHAnsi"/>
          <w:lang w:val="fr-FR"/>
        </w:rPr>
        <w:t>13.  </w:t>
      </w:r>
      <w:r w:rsidRPr="00C210E3">
        <w:rPr>
          <w:rFonts w:eastAsiaTheme="minorHAnsi"/>
          <w:lang w:val="fr-FR"/>
        </w:rPr>
        <w:t>Il ressort des éléments du dossier que la correspondance du requérant a été soumise au contrôle des autorités pénitentiaires sur autorisation préalable des juridictions de l</w:t>
      </w:r>
      <w:r w:rsidR="00F21895">
        <w:rPr>
          <w:rFonts w:eastAsiaTheme="minorHAnsi"/>
          <w:lang w:val="fr-FR"/>
        </w:rPr>
        <w:t>’</w:t>
      </w:r>
      <w:r w:rsidRPr="00C210E3">
        <w:rPr>
          <w:rFonts w:eastAsiaTheme="minorHAnsi"/>
          <w:lang w:val="fr-FR"/>
        </w:rPr>
        <w:t>application des peines compétentes.</w:t>
      </w:r>
    </w:p>
    <w:p w:rsidR="006F453D" w:rsidRPr="00C210E3" w:rsidRDefault="006F453D" w:rsidP="00BA19BF">
      <w:pPr>
        <w:pStyle w:val="ECHRPara"/>
        <w:rPr>
          <w:rFonts w:eastAsiaTheme="minorHAnsi"/>
          <w:lang w:val="fr-FR"/>
        </w:rPr>
      </w:pPr>
      <w:r w:rsidRPr="00C210E3">
        <w:rPr>
          <w:rFonts w:eastAsiaTheme="minorHAnsi"/>
          <w:lang w:val="fr-FR"/>
        </w:rPr>
        <w:t>Les documents suivants portent le cachet non daté prouvant le contrôle :</w:t>
      </w:r>
    </w:p>
    <w:p w:rsidR="006F453D" w:rsidRPr="00EF02B7" w:rsidRDefault="006F453D" w:rsidP="006F453D">
      <w:pPr>
        <w:pStyle w:val="Paragrafoelenco"/>
        <w:numPr>
          <w:ilvl w:val="0"/>
          <w:numId w:val="25"/>
        </w:numPr>
        <w:autoSpaceDE w:val="0"/>
        <w:autoSpaceDN w:val="0"/>
        <w:adjustRightInd w:val="0"/>
        <w:ind w:left="567" w:hanging="283"/>
        <w:rPr>
          <w:rFonts w:ascii="Times New Roman" w:eastAsiaTheme="minorHAnsi" w:hAnsi="Times New Roman" w:cs="Times New Roman"/>
          <w:color w:val="000000"/>
          <w:szCs w:val="24"/>
          <w:lang w:val="fr-FR"/>
        </w:rPr>
      </w:pPr>
      <w:r w:rsidRPr="00EF02B7">
        <w:rPr>
          <w:rFonts w:ascii="Times New Roman" w:eastAsiaTheme="minorHAnsi" w:hAnsi="Times New Roman" w:cs="Times New Roman"/>
          <w:color w:val="000000"/>
          <w:szCs w:val="24"/>
          <w:lang w:val="fr-FR"/>
        </w:rPr>
        <w:t>le formulaire de requête à la Cour ;</w:t>
      </w:r>
    </w:p>
    <w:p w:rsidR="006F453D" w:rsidRPr="00EF02B7" w:rsidRDefault="006F453D" w:rsidP="006F453D">
      <w:pPr>
        <w:pStyle w:val="Paragrafoelenco"/>
        <w:numPr>
          <w:ilvl w:val="0"/>
          <w:numId w:val="25"/>
        </w:numPr>
        <w:autoSpaceDE w:val="0"/>
        <w:autoSpaceDN w:val="0"/>
        <w:adjustRightInd w:val="0"/>
        <w:ind w:left="567" w:hanging="283"/>
        <w:rPr>
          <w:rFonts w:ascii="Times New Roman" w:eastAsiaTheme="minorHAnsi" w:hAnsi="Times New Roman" w:cs="Times New Roman"/>
          <w:color w:val="000000"/>
          <w:szCs w:val="24"/>
          <w:lang w:val="fr-FR"/>
        </w:rPr>
      </w:pPr>
      <w:r w:rsidRPr="00EF02B7">
        <w:rPr>
          <w:rFonts w:ascii="Times New Roman" w:eastAsiaTheme="minorHAnsi" w:hAnsi="Times New Roman" w:cs="Times New Roman"/>
          <w:color w:val="000000"/>
          <w:szCs w:val="24"/>
          <w:lang w:val="fr-FR"/>
        </w:rPr>
        <w:t>12 arrêtés ministériels imposant le régime spécial de détention ;</w:t>
      </w:r>
    </w:p>
    <w:p w:rsidR="006F453D" w:rsidRPr="00EF02B7" w:rsidRDefault="006F453D" w:rsidP="006F453D">
      <w:pPr>
        <w:pStyle w:val="Paragrafoelenco"/>
        <w:numPr>
          <w:ilvl w:val="0"/>
          <w:numId w:val="25"/>
        </w:numPr>
        <w:autoSpaceDE w:val="0"/>
        <w:autoSpaceDN w:val="0"/>
        <w:adjustRightInd w:val="0"/>
        <w:ind w:left="567" w:hanging="283"/>
        <w:rPr>
          <w:rFonts w:ascii="Times New Roman" w:eastAsiaTheme="minorHAnsi" w:hAnsi="Times New Roman" w:cs="Times New Roman"/>
          <w:color w:val="000000"/>
          <w:szCs w:val="24"/>
          <w:lang w:val="fr-FR"/>
        </w:rPr>
      </w:pPr>
      <w:r w:rsidRPr="00EF02B7">
        <w:rPr>
          <w:rFonts w:ascii="Times New Roman" w:eastAsiaTheme="minorHAnsi" w:hAnsi="Times New Roman" w:cs="Times New Roman"/>
          <w:color w:val="000000"/>
          <w:szCs w:val="24"/>
          <w:lang w:val="fr-FR"/>
        </w:rPr>
        <w:t>la liste des événements judiciaires concernant le requérant rédigée par les autorités pénitentiaires de la prison de Novare ;</w:t>
      </w:r>
    </w:p>
    <w:p w:rsidR="006F453D" w:rsidRPr="00EF02B7" w:rsidRDefault="006F453D" w:rsidP="006F453D">
      <w:pPr>
        <w:pStyle w:val="Paragrafoelenco"/>
        <w:numPr>
          <w:ilvl w:val="0"/>
          <w:numId w:val="25"/>
        </w:numPr>
        <w:autoSpaceDE w:val="0"/>
        <w:autoSpaceDN w:val="0"/>
        <w:adjustRightInd w:val="0"/>
        <w:ind w:left="567" w:hanging="283"/>
        <w:rPr>
          <w:rFonts w:ascii="Times New Roman" w:eastAsiaTheme="minorHAnsi" w:hAnsi="Times New Roman" w:cs="Times New Roman"/>
          <w:color w:val="000000"/>
          <w:szCs w:val="24"/>
          <w:lang w:val="fr-FR"/>
        </w:rPr>
      </w:pPr>
      <w:r w:rsidRPr="00EF02B7">
        <w:rPr>
          <w:rFonts w:ascii="Times New Roman" w:eastAsiaTheme="minorHAnsi" w:hAnsi="Times New Roman" w:cs="Times New Roman"/>
          <w:color w:val="000000"/>
          <w:szCs w:val="24"/>
          <w:lang w:val="fr-FR"/>
        </w:rPr>
        <w:lastRenderedPageBreak/>
        <w:t>le jugement du juge des investigations préliminaires de Caltanissetta du 16 octobre 1999 ;</w:t>
      </w:r>
    </w:p>
    <w:p w:rsidR="006F453D" w:rsidRPr="00EF02B7" w:rsidRDefault="006F453D" w:rsidP="006F453D">
      <w:pPr>
        <w:pStyle w:val="Paragrafoelenco"/>
        <w:numPr>
          <w:ilvl w:val="0"/>
          <w:numId w:val="25"/>
        </w:numPr>
        <w:autoSpaceDE w:val="0"/>
        <w:autoSpaceDN w:val="0"/>
        <w:adjustRightInd w:val="0"/>
        <w:ind w:left="567" w:hanging="283"/>
        <w:rPr>
          <w:rFonts w:ascii="Times New Roman" w:eastAsiaTheme="minorHAnsi" w:hAnsi="Times New Roman" w:cs="Times New Roman"/>
          <w:color w:val="000000"/>
          <w:szCs w:val="24"/>
          <w:lang w:val="fr-FR"/>
        </w:rPr>
      </w:pPr>
      <w:r w:rsidRPr="00EF02B7">
        <w:rPr>
          <w:rFonts w:ascii="Times New Roman" w:eastAsiaTheme="minorHAnsi" w:hAnsi="Times New Roman" w:cs="Times New Roman"/>
          <w:color w:val="000000"/>
          <w:szCs w:val="24"/>
          <w:lang w:val="fr-FR"/>
        </w:rPr>
        <w:t>l</w:t>
      </w:r>
      <w:r w:rsidR="00F21895">
        <w:rPr>
          <w:rFonts w:ascii="Times New Roman" w:eastAsiaTheme="minorHAnsi" w:hAnsi="Times New Roman" w:cs="Times New Roman"/>
          <w:color w:val="000000"/>
          <w:szCs w:val="24"/>
          <w:lang w:val="fr-FR"/>
        </w:rPr>
        <w:t>’</w:t>
      </w:r>
      <w:r w:rsidRPr="00EF02B7">
        <w:rPr>
          <w:rFonts w:ascii="Times New Roman" w:eastAsiaTheme="minorHAnsi" w:hAnsi="Times New Roman" w:cs="Times New Roman"/>
          <w:color w:val="000000"/>
          <w:szCs w:val="24"/>
          <w:lang w:val="fr-FR"/>
        </w:rPr>
        <w:t>arrêt de la cour d</w:t>
      </w:r>
      <w:r w:rsidR="00F21895">
        <w:rPr>
          <w:rFonts w:ascii="Times New Roman" w:eastAsiaTheme="minorHAnsi" w:hAnsi="Times New Roman" w:cs="Times New Roman"/>
          <w:color w:val="000000"/>
          <w:szCs w:val="24"/>
          <w:lang w:val="fr-FR"/>
        </w:rPr>
        <w:t>’</w:t>
      </w:r>
      <w:r w:rsidRPr="00EF02B7">
        <w:rPr>
          <w:rFonts w:ascii="Times New Roman" w:eastAsiaTheme="minorHAnsi" w:hAnsi="Times New Roman" w:cs="Times New Roman"/>
          <w:color w:val="000000"/>
          <w:szCs w:val="24"/>
          <w:lang w:val="fr-FR"/>
        </w:rPr>
        <w:t>assises d</w:t>
      </w:r>
      <w:r w:rsidR="00F21895">
        <w:rPr>
          <w:rFonts w:ascii="Times New Roman" w:eastAsiaTheme="minorHAnsi" w:hAnsi="Times New Roman" w:cs="Times New Roman"/>
          <w:color w:val="000000"/>
          <w:szCs w:val="24"/>
          <w:lang w:val="fr-FR"/>
        </w:rPr>
        <w:t>’</w:t>
      </w:r>
      <w:r w:rsidRPr="00EF02B7">
        <w:rPr>
          <w:rFonts w:ascii="Times New Roman" w:eastAsiaTheme="minorHAnsi" w:hAnsi="Times New Roman" w:cs="Times New Roman"/>
          <w:color w:val="000000"/>
          <w:szCs w:val="24"/>
          <w:lang w:val="fr-FR"/>
        </w:rPr>
        <w:t>appel de Caltanissetta du 20 juillet 2000 ;</w:t>
      </w:r>
    </w:p>
    <w:p w:rsidR="006F453D" w:rsidRPr="00EF02B7" w:rsidRDefault="006F453D" w:rsidP="006F453D">
      <w:pPr>
        <w:pStyle w:val="Paragrafoelenco"/>
        <w:numPr>
          <w:ilvl w:val="0"/>
          <w:numId w:val="25"/>
        </w:numPr>
        <w:autoSpaceDE w:val="0"/>
        <w:autoSpaceDN w:val="0"/>
        <w:adjustRightInd w:val="0"/>
        <w:ind w:left="567" w:hanging="283"/>
        <w:rPr>
          <w:rFonts w:ascii="Times New Roman" w:eastAsiaTheme="minorHAnsi" w:hAnsi="Times New Roman" w:cs="Times New Roman"/>
          <w:color w:val="000000"/>
          <w:szCs w:val="24"/>
          <w:lang w:val="fr-FR"/>
        </w:rPr>
      </w:pPr>
      <w:r w:rsidRPr="00EF02B7">
        <w:rPr>
          <w:rFonts w:ascii="Times New Roman" w:eastAsiaTheme="minorHAnsi" w:hAnsi="Times New Roman" w:cs="Times New Roman"/>
          <w:color w:val="000000"/>
          <w:szCs w:val="24"/>
          <w:lang w:val="fr-FR"/>
        </w:rPr>
        <w:t>l</w:t>
      </w:r>
      <w:r w:rsidR="00F21895">
        <w:rPr>
          <w:rFonts w:ascii="Times New Roman" w:eastAsiaTheme="minorHAnsi" w:hAnsi="Times New Roman" w:cs="Times New Roman"/>
          <w:color w:val="000000"/>
          <w:szCs w:val="24"/>
          <w:lang w:val="fr-FR"/>
        </w:rPr>
        <w:t>’</w:t>
      </w:r>
      <w:r w:rsidRPr="00EF02B7">
        <w:rPr>
          <w:rFonts w:ascii="Times New Roman" w:eastAsiaTheme="minorHAnsi" w:hAnsi="Times New Roman" w:cs="Times New Roman"/>
          <w:color w:val="000000"/>
          <w:szCs w:val="24"/>
          <w:lang w:val="fr-FR"/>
        </w:rPr>
        <w:t>arrêt de la cour d</w:t>
      </w:r>
      <w:r w:rsidR="00F21895">
        <w:rPr>
          <w:rFonts w:ascii="Times New Roman" w:eastAsiaTheme="minorHAnsi" w:hAnsi="Times New Roman" w:cs="Times New Roman"/>
          <w:color w:val="000000"/>
          <w:szCs w:val="24"/>
          <w:lang w:val="fr-FR"/>
        </w:rPr>
        <w:t>’</w:t>
      </w:r>
      <w:r w:rsidRPr="00EF02B7">
        <w:rPr>
          <w:rFonts w:ascii="Times New Roman" w:eastAsiaTheme="minorHAnsi" w:hAnsi="Times New Roman" w:cs="Times New Roman"/>
          <w:color w:val="000000"/>
          <w:szCs w:val="24"/>
          <w:lang w:val="fr-FR"/>
        </w:rPr>
        <w:t>appel de Caltanissetta du 10 octobre 2000 ;</w:t>
      </w:r>
    </w:p>
    <w:p w:rsidR="006F453D" w:rsidRPr="00EF02B7" w:rsidRDefault="006F453D" w:rsidP="006F453D">
      <w:pPr>
        <w:pStyle w:val="Paragrafoelenco"/>
        <w:numPr>
          <w:ilvl w:val="0"/>
          <w:numId w:val="25"/>
        </w:numPr>
        <w:autoSpaceDE w:val="0"/>
        <w:autoSpaceDN w:val="0"/>
        <w:adjustRightInd w:val="0"/>
        <w:ind w:left="567" w:hanging="283"/>
        <w:rPr>
          <w:rFonts w:ascii="Times New Roman" w:eastAsiaTheme="minorHAnsi" w:hAnsi="Times New Roman" w:cs="Times New Roman"/>
          <w:color w:val="000000"/>
          <w:szCs w:val="24"/>
          <w:lang w:val="fr-FR"/>
        </w:rPr>
      </w:pPr>
      <w:r w:rsidRPr="00EF02B7">
        <w:rPr>
          <w:rFonts w:ascii="Times New Roman" w:eastAsiaTheme="minorHAnsi" w:hAnsi="Times New Roman" w:cs="Times New Roman"/>
          <w:color w:val="000000"/>
          <w:szCs w:val="24"/>
          <w:lang w:val="fr-FR"/>
        </w:rPr>
        <w:t>la lettre de l</w:t>
      </w:r>
      <w:r w:rsidR="00F21895">
        <w:rPr>
          <w:rFonts w:ascii="Times New Roman" w:eastAsiaTheme="minorHAnsi" w:hAnsi="Times New Roman" w:cs="Times New Roman"/>
          <w:color w:val="000000"/>
          <w:szCs w:val="24"/>
          <w:lang w:val="fr-FR"/>
        </w:rPr>
        <w:t>’</w:t>
      </w:r>
      <w:r w:rsidRPr="00EF02B7">
        <w:rPr>
          <w:rFonts w:ascii="Times New Roman" w:eastAsiaTheme="minorHAnsi" w:hAnsi="Times New Roman" w:cs="Times New Roman"/>
          <w:color w:val="000000"/>
          <w:szCs w:val="24"/>
          <w:lang w:val="fr-FR"/>
        </w:rPr>
        <w:t>avocat du requérant du 14 juillet 2001 ;</w:t>
      </w:r>
    </w:p>
    <w:p w:rsidR="006F453D" w:rsidRPr="00EF02B7" w:rsidRDefault="006F453D" w:rsidP="006F453D">
      <w:pPr>
        <w:pStyle w:val="Paragrafoelenco"/>
        <w:numPr>
          <w:ilvl w:val="0"/>
          <w:numId w:val="25"/>
        </w:numPr>
        <w:autoSpaceDE w:val="0"/>
        <w:autoSpaceDN w:val="0"/>
        <w:adjustRightInd w:val="0"/>
        <w:ind w:left="567" w:hanging="283"/>
        <w:rPr>
          <w:rFonts w:ascii="Times New Roman" w:eastAsiaTheme="minorHAnsi" w:hAnsi="Times New Roman" w:cs="Times New Roman"/>
          <w:color w:val="000000"/>
          <w:szCs w:val="24"/>
          <w:lang w:val="fr-FR"/>
        </w:rPr>
      </w:pPr>
      <w:r w:rsidRPr="00EF02B7">
        <w:rPr>
          <w:rFonts w:ascii="Times New Roman" w:eastAsiaTheme="minorHAnsi" w:hAnsi="Times New Roman" w:cs="Times New Roman"/>
          <w:color w:val="000000"/>
          <w:szCs w:val="24"/>
          <w:lang w:val="fr-FR"/>
        </w:rPr>
        <w:t>les communications du département de l</w:t>
      </w:r>
      <w:r w:rsidR="00F21895">
        <w:rPr>
          <w:rFonts w:ascii="Times New Roman" w:eastAsiaTheme="minorHAnsi" w:hAnsi="Times New Roman" w:cs="Times New Roman"/>
          <w:color w:val="000000"/>
          <w:szCs w:val="24"/>
          <w:lang w:val="fr-FR"/>
        </w:rPr>
        <w:t>’</w:t>
      </w:r>
      <w:r w:rsidRPr="00EF02B7">
        <w:rPr>
          <w:rFonts w:ascii="Times New Roman" w:eastAsiaTheme="minorHAnsi" w:hAnsi="Times New Roman" w:cs="Times New Roman"/>
          <w:color w:val="000000"/>
          <w:szCs w:val="24"/>
          <w:lang w:val="fr-FR"/>
        </w:rPr>
        <w:t>administration pénitentiaire au requérant du 18 septembre et des 8 et 30 octobre 2001 ;</w:t>
      </w:r>
    </w:p>
    <w:p w:rsidR="006F453D" w:rsidRPr="00EF02B7" w:rsidRDefault="006F453D" w:rsidP="006F453D">
      <w:pPr>
        <w:pStyle w:val="Paragrafoelenco"/>
        <w:numPr>
          <w:ilvl w:val="0"/>
          <w:numId w:val="25"/>
        </w:numPr>
        <w:autoSpaceDE w:val="0"/>
        <w:autoSpaceDN w:val="0"/>
        <w:adjustRightInd w:val="0"/>
        <w:ind w:left="567" w:hanging="283"/>
        <w:rPr>
          <w:rFonts w:ascii="Times New Roman" w:eastAsiaTheme="minorHAnsi" w:hAnsi="Times New Roman" w:cs="Times New Roman"/>
          <w:color w:val="000000"/>
          <w:szCs w:val="24"/>
          <w:lang w:val="fr-FR"/>
        </w:rPr>
      </w:pPr>
      <w:r w:rsidRPr="00EF02B7">
        <w:rPr>
          <w:rFonts w:ascii="Times New Roman" w:eastAsiaTheme="minorHAnsi" w:hAnsi="Times New Roman" w:cs="Times New Roman"/>
          <w:color w:val="000000"/>
          <w:szCs w:val="24"/>
          <w:lang w:val="fr-FR"/>
        </w:rPr>
        <w:t>la demande d</w:t>
      </w:r>
      <w:r w:rsidR="00F21895">
        <w:rPr>
          <w:rFonts w:ascii="Times New Roman" w:eastAsiaTheme="minorHAnsi" w:hAnsi="Times New Roman" w:cs="Times New Roman"/>
          <w:color w:val="000000"/>
          <w:szCs w:val="24"/>
          <w:lang w:val="fr-FR"/>
        </w:rPr>
        <w:t>’</w:t>
      </w:r>
      <w:r w:rsidRPr="00EF02B7">
        <w:rPr>
          <w:rFonts w:ascii="Times New Roman" w:eastAsiaTheme="minorHAnsi" w:hAnsi="Times New Roman" w:cs="Times New Roman"/>
          <w:color w:val="000000"/>
          <w:szCs w:val="24"/>
          <w:lang w:val="fr-FR"/>
        </w:rPr>
        <w:t>autorisation du requérant à suivre un cours de formation du 25 août 2001 ;</w:t>
      </w:r>
    </w:p>
    <w:p w:rsidR="006F453D" w:rsidRPr="00EF02B7" w:rsidRDefault="006F453D" w:rsidP="006F453D">
      <w:pPr>
        <w:pStyle w:val="Paragrafoelenco"/>
        <w:numPr>
          <w:ilvl w:val="0"/>
          <w:numId w:val="25"/>
        </w:numPr>
        <w:autoSpaceDE w:val="0"/>
        <w:autoSpaceDN w:val="0"/>
        <w:adjustRightInd w:val="0"/>
        <w:ind w:left="567" w:hanging="283"/>
        <w:rPr>
          <w:rFonts w:ascii="Times New Roman" w:eastAsiaTheme="minorHAnsi" w:hAnsi="Times New Roman" w:cs="Times New Roman"/>
          <w:color w:val="000000"/>
          <w:szCs w:val="24"/>
          <w:lang w:val="fr-FR"/>
        </w:rPr>
      </w:pPr>
      <w:r w:rsidRPr="00EF02B7">
        <w:rPr>
          <w:rFonts w:ascii="Times New Roman" w:eastAsiaTheme="minorHAnsi" w:hAnsi="Times New Roman" w:cs="Times New Roman"/>
          <w:color w:val="000000"/>
          <w:szCs w:val="24"/>
          <w:lang w:val="fr-FR"/>
        </w:rPr>
        <w:t>la déclaration du requérant du 2 janvier 2003 par laquelle il renonçait à effectuer les heures de promenade en compagnie d</w:t>
      </w:r>
      <w:r w:rsidR="00F21895">
        <w:rPr>
          <w:rFonts w:ascii="Times New Roman" w:eastAsiaTheme="minorHAnsi" w:hAnsi="Times New Roman" w:cs="Times New Roman"/>
          <w:color w:val="000000"/>
          <w:szCs w:val="24"/>
          <w:lang w:val="fr-FR"/>
        </w:rPr>
        <w:t>’</w:t>
      </w:r>
      <w:r w:rsidRPr="00EF02B7">
        <w:rPr>
          <w:rFonts w:ascii="Times New Roman" w:eastAsiaTheme="minorHAnsi" w:hAnsi="Times New Roman" w:cs="Times New Roman"/>
          <w:color w:val="000000"/>
          <w:szCs w:val="24"/>
          <w:lang w:val="fr-FR"/>
        </w:rPr>
        <w:t>autres détenus ;</w:t>
      </w:r>
    </w:p>
    <w:p w:rsidR="006F453D" w:rsidRPr="00EF02B7" w:rsidRDefault="006F453D" w:rsidP="006F453D">
      <w:pPr>
        <w:pStyle w:val="Paragrafoelenco"/>
        <w:numPr>
          <w:ilvl w:val="0"/>
          <w:numId w:val="25"/>
        </w:numPr>
        <w:autoSpaceDE w:val="0"/>
        <w:autoSpaceDN w:val="0"/>
        <w:adjustRightInd w:val="0"/>
        <w:ind w:left="567" w:hanging="283"/>
        <w:rPr>
          <w:rFonts w:ascii="Times New Roman" w:eastAsiaTheme="minorHAnsi" w:hAnsi="Times New Roman" w:cs="Times New Roman"/>
          <w:color w:val="000000"/>
          <w:szCs w:val="24"/>
          <w:lang w:val="fr-FR"/>
        </w:rPr>
      </w:pPr>
      <w:r w:rsidRPr="00EF02B7">
        <w:rPr>
          <w:rFonts w:ascii="Times New Roman" w:eastAsiaTheme="minorHAnsi" w:hAnsi="Times New Roman" w:cs="Times New Roman"/>
          <w:color w:val="000000"/>
          <w:szCs w:val="24"/>
          <w:lang w:val="fr-FR"/>
        </w:rPr>
        <w:t>la déclaration de l</w:t>
      </w:r>
      <w:r w:rsidR="00F21895">
        <w:rPr>
          <w:rFonts w:ascii="Times New Roman" w:eastAsiaTheme="minorHAnsi" w:hAnsi="Times New Roman" w:cs="Times New Roman"/>
          <w:color w:val="000000"/>
          <w:szCs w:val="24"/>
          <w:lang w:val="fr-FR"/>
        </w:rPr>
        <w:t>’</w:t>
      </w:r>
      <w:r w:rsidRPr="00EF02B7">
        <w:rPr>
          <w:rFonts w:ascii="Times New Roman" w:eastAsiaTheme="minorHAnsi" w:hAnsi="Times New Roman" w:cs="Times New Roman"/>
          <w:color w:val="000000"/>
          <w:szCs w:val="24"/>
          <w:lang w:val="fr-FR"/>
        </w:rPr>
        <w:t>état civil de la mairie de Gela du 18 février 2003 ;</w:t>
      </w:r>
    </w:p>
    <w:p w:rsidR="006F453D" w:rsidRPr="00EF02B7" w:rsidRDefault="006F453D" w:rsidP="006F453D">
      <w:pPr>
        <w:pStyle w:val="Paragrafoelenco"/>
        <w:numPr>
          <w:ilvl w:val="0"/>
          <w:numId w:val="25"/>
        </w:numPr>
        <w:autoSpaceDE w:val="0"/>
        <w:autoSpaceDN w:val="0"/>
        <w:adjustRightInd w:val="0"/>
        <w:ind w:left="567" w:hanging="283"/>
        <w:rPr>
          <w:rFonts w:ascii="Times New Roman" w:eastAsiaTheme="minorHAnsi" w:hAnsi="Times New Roman" w:cs="Times New Roman"/>
          <w:color w:val="000000"/>
          <w:szCs w:val="24"/>
          <w:lang w:val="fr-FR"/>
        </w:rPr>
      </w:pPr>
      <w:r w:rsidRPr="00EF02B7">
        <w:rPr>
          <w:rFonts w:ascii="Times New Roman" w:eastAsiaTheme="minorHAnsi" w:hAnsi="Times New Roman" w:cs="Times New Roman"/>
          <w:color w:val="000000"/>
          <w:szCs w:val="24"/>
          <w:lang w:val="fr-FR"/>
        </w:rPr>
        <w:t>le mémoire ampliatif du conseil du requérant à l</w:t>
      </w:r>
      <w:r w:rsidR="00F21895">
        <w:rPr>
          <w:rFonts w:ascii="Times New Roman" w:eastAsiaTheme="minorHAnsi" w:hAnsi="Times New Roman" w:cs="Times New Roman"/>
          <w:color w:val="000000"/>
          <w:szCs w:val="24"/>
          <w:lang w:val="fr-FR"/>
        </w:rPr>
        <w:t>’</w:t>
      </w:r>
      <w:r w:rsidRPr="00EF02B7">
        <w:rPr>
          <w:rFonts w:ascii="Times New Roman" w:eastAsiaTheme="minorHAnsi" w:hAnsi="Times New Roman" w:cs="Times New Roman"/>
          <w:color w:val="000000"/>
          <w:szCs w:val="24"/>
          <w:lang w:val="fr-FR"/>
        </w:rPr>
        <w:t>appui du recours à l</w:t>
      </w:r>
      <w:r w:rsidR="00F21895">
        <w:rPr>
          <w:rFonts w:ascii="Times New Roman" w:eastAsiaTheme="minorHAnsi" w:hAnsi="Times New Roman" w:cs="Times New Roman"/>
          <w:color w:val="000000"/>
          <w:szCs w:val="24"/>
          <w:lang w:val="fr-FR"/>
        </w:rPr>
        <w:t>’</w:t>
      </w:r>
      <w:r w:rsidRPr="00EF02B7">
        <w:rPr>
          <w:rFonts w:ascii="Times New Roman" w:eastAsiaTheme="minorHAnsi" w:hAnsi="Times New Roman" w:cs="Times New Roman"/>
          <w:color w:val="000000"/>
          <w:szCs w:val="24"/>
          <w:lang w:val="fr-FR"/>
        </w:rPr>
        <w:t>encontre de l</w:t>
      </w:r>
      <w:r w:rsidR="00F21895">
        <w:rPr>
          <w:rFonts w:ascii="Times New Roman" w:eastAsiaTheme="minorHAnsi" w:hAnsi="Times New Roman" w:cs="Times New Roman"/>
          <w:color w:val="000000"/>
          <w:szCs w:val="24"/>
          <w:lang w:val="fr-FR"/>
        </w:rPr>
        <w:t>’</w:t>
      </w:r>
      <w:r w:rsidRPr="00EF02B7">
        <w:rPr>
          <w:rFonts w:ascii="Times New Roman" w:eastAsiaTheme="minorHAnsi" w:hAnsi="Times New Roman" w:cs="Times New Roman"/>
          <w:color w:val="000000"/>
          <w:szCs w:val="24"/>
          <w:lang w:val="fr-FR"/>
        </w:rPr>
        <w:t>arrêté ministériel du 23 décembre 2003 devant le TAP de Trieste ;</w:t>
      </w:r>
    </w:p>
    <w:p w:rsidR="006F453D" w:rsidRPr="00EF02B7" w:rsidRDefault="006F453D" w:rsidP="006F453D">
      <w:pPr>
        <w:pStyle w:val="Paragrafoelenco"/>
        <w:numPr>
          <w:ilvl w:val="0"/>
          <w:numId w:val="25"/>
        </w:numPr>
        <w:autoSpaceDE w:val="0"/>
        <w:autoSpaceDN w:val="0"/>
        <w:adjustRightInd w:val="0"/>
        <w:ind w:left="567" w:hanging="283"/>
        <w:rPr>
          <w:rFonts w:ascii="Times New Roman" w:eastAsiaTheme="minorHAnsi" w:hAnsi="Times New Roman" w:cs="Times New Roman"/>
          <w:color w:val="000000"/>
          <w:szCs w:val="24"/>
          <w:lang w:val="fr-FR"/>
        </w:rPr>
      </w:pPr>
      <w:r w:rsidRPr="00EF02B7">
        <w:rPr>
          <w:rFonts w:ascii="Times New Roman" w:eastAsiaTheme="minorHAnsi" w:hAnsi="Times New Roman" w:cs="Times New Roman"/>
          <w:color w:val="000000"/>
          <w:szCs w:val="24"/>
          <w:lang w:val="fr-FR"/>
        </w:rPr>
        <w:t>l</w:t>
      </w:r>
      <w:r w:rsidR="00F21895">
        <w:rPr>
          <w:rFonts w:ascii="Times New Roman" w:eastAsiaTheme="minorHAnsi" w:hAnsi="Times New Roman" w:cs="Times New Roman"/>
          <w:color w:val="000000"/>
          <w:szCs w:val="24"/>
          <w:lang w:val="fr-FR"/>
        </w:rPr>
        <w:t>’</w:t>
      </w:r>
      <w:r w:rsidRPr="00EF02B7">
        <w:rPr>
          <w:rFonts w:ascii="Times New Roman" w:eastAsiaTheme="minorHAnsi" w:hAnsi="Times New Roman" w:cs="Times New Roman"/>
          <w:color w:val="000000"/>
          <w:szCs w:val="24"/>
          <w:lang w:val="fr-FR"/>
        </w:rPr>
        <w:t>ordonnance d</w:t>
      </w:r>
      <w:r w:rsidR="00F21895">
        <w:rPr>
          <w:rFonts w:ascii="Times New Roman" w:eastAsiaTheme="minorHAnsi" w:hAnsi="Times New Roman" w:cs="Times New Roman"/>
          <w:color w:val="000000"/>
          <w:szCs w:val="24"/>
          <w:lang w:val="fr-FR"/>
        </w:rPr>
        <w:t>’</w:t>
      </w:r>
      <w:r w:rsidRPr="00EF02B7">
        <w:rPr>
          <w:rFonts w:ascii="Times New Roman" w:eastAsiaTheme="minorHAnsi" w:hAnsi="Times New Roman" w:cs="Times New Roman"/>
          <w:color w:val="000000"/>
          <w:szCs w:val="24"/>
          <w:lang w:val="fr-FR"/>
        </w:rPr>
        <w:t>exécution des peines émis par le parquet de Gela le 4 mars 2004 ;</w:t>
      </w:r>
    </w:p>
    <w:p w:rsidR="006F453D" w:rsidRPr="00EF02B7" w:rsidRDefault="006F453D" w:rsidP="006F453D">
      <w:pPr>
        <w:pStyle w:val="Paragrafoelenco"/>
        <w:numPr>
          <w:ilvl w:val="0"/>
          <w:numId w:val="25"/>
        </w:numPr>
        <w:autoSpaceDE w:val="0"/>
        <w:autoSpaceDN w:val="0"/>
        <w:adjustRightInd w:val="0"/>
        <w:ind w:left="567" w:hanging="283"/>
        <w:rPr>
          <w:rFonts w:ascii="Times New Roman" w:eastAsiaTheme="minorHAnsi" w:hAnsi="Times New Roman" w:cs="Times New Roman"/>
          <w:color w:val="000000"/>
          <w:szCs w:val="24"/>
          <w:lang w:val="fr-FR"/>
        </w:rPr>
      </w:pPr>
      <w:r w:rsidRPr="00EF02B7">
        <w:rPr>
          <w:rFonts w:ascii="Times New Roman" w:eastAsiaTheme="minorHAnsi" w:hAnsi="Times New Roman" w:cs="Times New Roman"/>
          <w:color w:val="000000"/>
          <w:szCs w:val="24"/>
          <w:lang w:val="fr-FR"/>
        </w:rPr>
        <w:t>la photocopie de la circulaire du département de l</w:t>
      </w:r>
      <w:r w:rsidR="00F21895">
        <w:rPr>
          <w:rFonts w:ascii="Times New Roman" w:eastAsiaTheme="minorHAnsi" w:hAnsi="Times New Roman" w:cs="Times New Roman"/>
          <w:color w:val="000000"/>
          <w:szCs w:val="24"/>
          <w:lang w:val="fr-FR"/>
        </w:rPr>
        <w:t>’</w:t>
      </w:r>
      <w:r w:rsidRPr="00EF02B7">
        <w:rPr>
          <w:rFonts w:ascii="Times New Roman" w:eastAsiaTheme="minorHAnsi" w:hAnsi="Times New Roman" w:cs="Times New Roman"/>
          <w:color w:val="000000"/>
          <w:szCs w:val="24"/>
          <w:lang w:val="fr-FR"/>
        </w:rPr>
        <w:t>administration pénitentiaire n</w:t>
      </w:r>
      <w:r w:rsidRPr="00644409">
        <w:rPr>
          <w:rFonts w:ascii="Times New Roman" w:eastAsiaTheme="minorHAnsi" w:hAnsi="Times New Roman" w:cs="Times New Roman"/>
          <w:color w:val="000000"/>
          <w:szCs w:val="24"/>
          <w:vertAlign w:val="superscript"/>
          <w:lang w:val="fr-FR"/>
        </w:rPr>
        <w:t>o</w:t>
      </w:r>
      <w:r w:rsidRPr="00EF02B7">
        <w:rPr>
          <w:rFonts w:ascii="Times New Roman" w:eastAsiaTheme="minorHAnsi" w:hAnsi="Times New Roman" w:cs="Times New Roman"/>
          <w:color w:val="000000"/>
          <w:szCs w:val="24"/>
          <w:lang w:val="fr-FR"/>
        </w:rPr>
        <w:t xml:space="preserve"> 3470/5920 ;</w:t>
      </w:r>
    </w:p>
    <w:p w:rsidR="006F453D" w:rsidRPr="00EF02B7" w:rsidRDefault="006F453D" w:rsidP="006F453D">
      <w:pPr>
        <w:pStyle w:val="Paragrafoelenco"/>
        <w:numPr>
          <w:ilvl w:val="0"/>
          <w:numId w:val="25"/>
        </w:numPr>
        <w:autoSpaceDE w:val="0"/>
        <w:autoSpaceDN w:val="0"/>
        <w:adjustRightInd w:val="0"/>
        <w:ind w:left="567" w:hanging="283"/>
        <w:rPr>
          <w:rFonts w:ascii="Times New Roman" w:eastAsiaTheme="minorHAnsi" w:hAnsi="Times New Roman" w:cs="Times New Roman"/>
          <w:color w:val="000000"/>
          <w:szCs w:val="24"/>
          <w:lang w:val="fr-FR"/>
        </w:rPr>
      </w:pPr>
      <w:r w:rsidRPr="00EF02B7">
        <w:rPr>
          <w:rFonts w:ascii="Times New Roman" w:eastAsiaTheme="minorHAnsi" w:hAnsi="Times New Roman" w:cs="Times New Roman"/>
          <w:color w:val="000000"/>
          <w:szCs w:val="24"/>
          <w:lang w:val="fr-FR"/>
        </w:rPr>
        <w:t>deux documents (le premier du 30 mai 2000, le deuxième non daté) contenant des considérations de détenus soumis au régime spécial de détention sur les restrictions imposées par celui-ci.</w:t>
      </w:r>
    </w:p>
    <w:p w:rsidR="006F453D" w:rsidRPr="0072720E" w:rsidRDefault="006F453D" w:rsidP="00BA19BF">
      <w:pPr>
        <w:pStyle w:val="ECHRHeading2"/>
        <w:rPr>
          <w:lang w:val="fr-FR"/>
        </w:rPr>
      </w:pPr>
      <w:r w:rsidRPr="0072720E">
        <w:rPr>
          <w:lang w:val="fr-FR"/>
        </w:rPr>
        <w:t>B.  Le droit interne pertinent</w:t>
      </w:r>
    </w:p>
    <w:p w:rsidR="006F453D" w:rsidRPr="00A83580" w:rsidRDefault="006F453D" w:rsidP="00BA19BF">
      <w:pPr>
        <w:pStyle w:val="ECHRPara"/>
        <w:rPr>
          <w:lang w:val="fr-FR"/>
        </w:rPr>
      </w:pPr>
      <w:r>
        <w:rPr>
          <w:rFonts w:eastAsiaTheme="minorHAnsi"/>
          <w:lang w:val="fr-FR"/>
        </w:rPr>
        <w:t>14.  </w:t>
      </w:r>
      <w:r w:rsidRPr="00C210E3">
        <w:rPr>
          <w:rFonts w:eastAsiaTheme="minorHAnsi"/>
          <w:lang w:val="fr-FR"/>
        </w:rPr>
        <w:t>La Cour a résumé le droit et la pratique internes pertinents quant au régime de</w:t>
      </w:r>
      <w:r>
        <w:rPr>
          <w:rFonts w:eastAsiaTheme="minorHAnsi"/>
          <w:lang w:val="fr-FR"/>
        </w:rPr>
        <w:t xml:space="preserve"> </w:t>
      </w:r>
      <w:r w:rsidRPr="00C210E3">
        <w:rPr>
          <w:rFonts w:eastAsiaTheme="minorHAnsi"/>
          <w:lang w:val="fr-FR"/>
        </w:rPr>
        <w:t>détention spécial appliqué en l</w:t>
      </w:r>
      <w:r w:rsidR="00F21895">
        <w:rPr>
          <w:rFonts w:eastAsiaTheme="minorHAnsi"/>
          <w:lang w:val="fr-FR"/>
        </w:rPr>
        <w:t>’</w:t>
      </w:r>
      <w:r w:rsidRPr="00C210E3">
        <w:rPr>
          <w:rFonts w:eastAsiaTheme="minorHAnsi"/>
          <w:lang w:val="fr-FR"/>
        </w:rPr>
        <w:t xml:space="preserve">espèce et quant au contrôle de la correspondance dans son arrêt </w:t>
      </w:r>
      <w:proofErr w:type="spellStart"/>
      <w:r w:rsidRPr="00C210E3">
        <w:rPr>
          <w:rFonts w:eastAsiaTheme="minorHAnsi"/>
          <w:i/>
          <w:iCs/>
          <w:lang w:val="fr-FR"/>
        </w:rPr>
        <w:t>Enea</w:t>
      </w:r>
      <w:proofErr w:type="spellEnd"/>
      <w:r w:rsidRPr="00C210E3">
        <w:rPr>
          <w:rFonts w:eastAsiaTheme="minorHAnsi"/>
          <w:i/>
          <w:iCs/>
          <w:lang w:val="fr-FR"/>
        </w:rPr>
        <w:t xml:space="preserve"> c. Italie</w:t>
      </w:r>
      <w:r w:rsidRPr="00C210E3">
        <w:rPr>
          <w:rFonts w:eastAsiaTheme="minorHAnsi"/>
          <w:lang w:val="fr-FR"/>
        </w:rPr>
        <w:t xml:space="preserve"> ([GC], n</w:t>
      </w:r>
      <w:r w:rsidRPr="00644409">
        <w:rPr>
          <w:rFonts w:eastAsiaTheme="minorHAnsi"/>
          <w:vertAlign w:val="superscript"/>
          <w:lang w:val="fr-FR"/>
        </w:rPr>
        <w:t>o</w:t>
      </w:r>
      <w:r>
        <w:rPr>
          <w:rFonts w:eastAsiaTheme="minorHAnsi"/>
          <w:lang w:val="fr-FR"/>
        </w:rPr>
        <w:t xml:space="preserve"> 74912/01, §§ 30-42, CEDH 2009).</w:t>
      </w:r>
    </w:p>
    <w:p w:rsidR="006F453D" w:rsidRPr="0072720E" w:rsidRDefault="006F453D" w:rsidP="00BA19BF">
      <w:pPr>
        <w:pStyle w:val="ECHRTitle1"/>
        <w:rPr>
          <w:lang w:val="fr-FR"/>
        </w:rPr>
      </w:pPr>
      <w:r w:rsidRPr="0072720E">
        <w:rPr>
          <w:lang w:val="fr-FR"/>
        </w:rPr>
        <w:t>GRIEFS</w:t>
      </w:r>
    </w:p>
    <w:p w:rsidR="006F453D" w:rsidRPr="003D01F1" w:rsidRDefault="006F453D" w:rsidP="00BA19BF">
      <w:pPr>
        <w:pStyle w:val="ECHRPara"/>
        <w:rPr>
          <w:rFonts w:eastAsiaTheme="minorHAnsi"/>
          <w:lang w:val="fr-FR"/>
        </w:rPr>
      </w:pPr>
      <w:r>
        <w:rPr>
          <w:rFonts w:eastAsiaTheme="minorHAnsi"/>
          <w:lang w:val="fr-FR"/>
        </w:rPr>
        <w:t>15.  </w:t>
      </w:r>
      <w:r w:rsidRPr="003D01F1">
        <w:rPr>
          <w:rFonts w:eastAsiaTheme="minorHAnsi"/>
          <w:lang w:val="fr-FR"/>
        </w:rPr>
        <w:t>Invoquant l</w:t>
      </w:r>
      <w:r w:rsidR="00F21895">
        <w:rPr>
          <w:rFonts w:eastAsiaTheme="minorHAnsi"/>
          <w:lang w:val="fr-FR"/>
        </w:rPr>
        <w:t>’</w:t>
      </w:r>
      <w:r w:rsidRPr="003D01F1">
        <w:rPr>
          <w:rFonts w:eastAsiaTheme="minorHAnsi"/>
          <w:lang w:val="fr-FR"/>
        </w:rPr>
        <w:t>article 3 de la Convention, le requérant soutient que l</w:t>
      </w:r>
      <w:r w:rsidR="00F21895">
        <w:rPr>
          <w:rFonts w:eastAsiaTheme="minorHAnsi"/>
          <w:lang w:val="fr-FR"/>
        </w:rPr>
        <w:t>’</w:t>
      </w:r>
      <w:r w:rsidRPr="003D01F1">
        <w:rPr>
          <w:rFonts w:eastAsiaTheme="minorHAnsi"/>
          <w:lang w:val="fr-FR"/>
        </w:rPr>
        <w:t>application du régime spécial de détention le soumet depuis longtemps à des « peines inhumaines et dégradantes et supérieures à celles prévues par la loi à l</w:t>
      </w:r>
      <w:r w:rsidR="00F21895">
        <w:rPr>
          <w:rFonts w:eastAsiaTheme="minorHAnsi"/>
          <w:lang w:val="fr-FR"/>
        </w:rPr>
        <w:t>’</w:t>
      </w:r>
      <w:r w:rsidRPr="003D01F1">
        <w:rPr>
          <w:rFonts w:eastAsiaTheme="minorHAnsi"/>
          <w:lang w:val="fr-FR"/>
        </w:rPr>
        <w:t>époque à laquelle les faits reprochés ont été commis ». Il serait, en outre, obligé de se soumettre, avant et après les entrevues avec sa famille et son avocat, à des inspections au cours desquelles son intimité n</w:t>
      </w:r>
      <w:r w:rsidR="00F21895">
        <w:rPr>
          <w:rFonts w:eastAsiaTheme="minorHAnsi"/>
          <w:lang w:val="fr-FR"/>
        </w:rPr>
        <w:t>’</w:t>
      </w:r>
      <w:r w:rsidRPr="003D01F1">
        <w:rPr>
          <w:rFonts w:eastAsiaTheme="minorHAnsi"/>
          <w:lang w:val="fr-FR"/>
        </w:rPr>
        <w:t>est pas préservée et serait constamment filmé dans sa cellule.</w:t>
      </w:r>
    </w:p>
    <w:p w:rsidR="006F453D" w:rsidRPr="00B67C8A" w:rsidRDefault="006F453D" w:rsidP="00BA19BF">
      <w:pPr>
        <w:pStyle w:val="ECHRPara"/>
        <w:rPr>
          <w:rFonts w:eastAsiaTheme="minorHAnsi"/>
          <w:lang w:val="fr-FR"/>
        </w:rPr>
      </w:pPr>
      <w:r>
        <w:rPr>
          <w:rFonts w:eastAsiaTheme="minorHAnsi"/>
          <w:lang w:val="fr-FR"/>
        </w:rPr>
        <w:t>16.  </w:t>
      </w:r>
      <w:r w:rsidRPr="00B67C8A">
        <w:rPr>
          <w:rFonts w:eastAsiaTheme="minorHAnsi"/>
          <w:lang w:val="fr-FR"/>
        </w:rPr>
        <w:t>Invoquant l</w:t>
      </w:r>
      <w:r w:rsidR="00F21895">
        <w:rPr>
          <w:rFonts w:eastAsiaTheme="minorHAnsi"/>
          <w:lang w:val="fr-FR"/>
        </w:rPr>
        <w:t>’</w:t>
      </w:r>
      <w:r w:rsidRPr="00B67C8A">
        <w:rPr>
          <w:rFonts w:eastAsiaTheme="minorHAnsi"/>
          <w:lang w:val="fr-FR"/>
        </w:rPr>
        <w:t xml:space="preserve">article 8, le requérant se plaint des restrictions ininterrompues à son droit au respect de sa vie familiale en raison des </w:t>
      </w:r>
      <w:r w:rsidRPr="00B67C8A">
        <w:rPr>
          <w:rFonts w:eastAsiaTheme="minorHAnsi"/>
          <w:lang w:val="fr-FR"/>
        </w:rPr>
        <w:lastRenderedPageBreak/>
        <w:t>restrictions et des modalités des visites familiales ainsi que pour la distance existant entre la prison où il est détenu et le lieu d</w:t>
      </w:r>
      <w:r w:rsidR="00F21895">
        <w:rPr>
          <w:rFonts w:eastAsiaTheme="minorHAnsi"/>
          <w:lang w:val="fr-FR"/>
        </w:rPr>
        <w:t>’</w:t>
      </w:r>
      <w:r w:rsidRPr="00B67C8A">
        <w:rPr>
          <w:rFonts w:eastAsiaTheme="minorHAnsi"/>
          <w:lang w:val="fr-FR"/>
        </w:rPr>
        <w:t>habitation de sa famille. Il se plaint aussi de la violation</w:t>
      </w:r>
      <w:r>
        <w:rPr>
          <w:rFonts w:eastAsiaTheme="minorHAnsi"/>
          <w:lang w:val="fr-FR"/>
        </w:rPr>
        <w:t xml:space="preserve"> </w:t>
      </w:r>
      <w:r w:rsidRPr="00B67C8A">
        <w:rPr>
          <w:rFonts w:eastAsiaTheme="minorHAnsi"/>
          <w:lang w:val="fr-FR"/>
        </w:rPr>
        <w:t>de son droit au respect de sa correspondance.</w:t>
      </w:r>
    </w:p>
    <w:p w:rsidR="006F453D" w:rsidRDefault="006F453D" w:rsidP="00BA19BF">
      <w:pPr>
        <w:pStyle w:val="ECHRPara"/>
        <w:rPr>
          <w:rFonts w:eastAsiaTheme="minorHAnsi"/>
          <w:lang w:val="fr-FR"/>
        </w:rPr>
      </w:pPr>
      <w:r>
        <w:rPr>
          <w:rFonts w:eastAsiaTheme="minorHAnsi"/>
          <w:lang w:val="fr-FR"/>
        </w:rPr>
        <w:t>17.  </w:t>
      </w:r>
      <w:r w:rsidRPr="00B67C8A">
        <w:rPr>
          <w:rFonts w:eastAsiaTheme="minorHAnsi"/>
          <w:lang w:val="fr-FR"/>
        </w:rPr>
        <w:t>Invoquant l</w:t>
      </w:r>
      <w:r w:rsidR="00F21895">
        <w:rPr>
          <w:rFonts w:eastAsiaTheme="minorHAnsi"/>
          <w:lang w:val="fr-FR"/>
        </w:rPr>
        <w:t>’</w:t>
      </w:r>
      <w:r w:rsidRPr="00B67C8A">
        <w:rPr>
          <w:rFonts w:eastAsiaTheme="minorHAnsi"/>
          <w:lang w:val="fr-FR"/>
        </w:rPr>
        <w:t>article 13, le requérant se plaint enfin de n</w:t>
      </w:r>
      <w:r w:rsidR="00F21895">
        <w:rPr>
          <w:rFonts w:eastAsiaTheme="minorHAnsi"/>
          <w:lang w:val="fr-FR"/>
        </w:rPr>
        <w:t>’</w:t>
      </w:r>
      <w:r w:rsidRPr="00B67C8A">
        <w:rPr>
          <w:rFonts w:eastAsiaTheme="minorHAnsi"/>
          <w:lang w:val="fr-FR"/>
        </w:rPr>
        <w:t>avoir pu disposer d</w:t>
      </w:r>
      <w:r w:rsidR="00F21895">
        <w:rPr>
          <w:rFonts w:eastAsiaTheme="minorHAnsi"/>
          <w:lang w:val="fr-FR"/>
        </w:rPr>
        <w:t>’</w:t>
      </w:r>
      <w:r w:rsidRPr="00B67C8A">
        <w:rPr>
          <w:rFonts w:eastAsiaTheme="minorHAnsi"/>
          <w:lang w:val="fr-FR"/>
        </w:rPr>
        <w:t>un recours interne effectif en raison de ce que « le retard avec lequel le tribunal de l</w:t>
      </w:r>
      <w:r w:rsidR="00F21895">
        <w:rPr>
          <w:rFonts w:eastAsiaTheme="minorHAnsi"/>
          <w:lang w:val="fr-FR"/>
        </w:rPr>
        <w:t>’</w:t>
      </w:r>
      <w:r w:rsidRPr="00B67C8A">
        <w:rPr>
          <w:rFonts w:eastAsiaTheme="minorHAnsi"/>
          <w:lang w:val="fr-FR"/>
        </w:rPr>
        <w:t>application des peines compétent a tranché son recours l</w:t>
      </w:r>
      <w:r w:rsidR="00F21895">
        <w:rPr>
          <w:rFonts w:eastAsiaTheme="minorHAnsi"/>
          <w:lang w:val="fr-FR"/>
        </w:rPr>
        <w:t>’</w:t>
      </w:r>
      <w:r w:rsidRPr="00B67C8A">
        <w:rPr>
          <w:rFonts w:eastAsiaTheme="minorHAnsi"/>
          <w:lang w:val="fr-FR"/>
        </w:rPr>
        <w:t>a privé de la possibilité de se pourvoir en cassation. »</w:t>
      </w:r>
    </w:p>
    <w:p w:rsidR="006F453D" w:rsidRDefault="006F453D" w:rsidP="00BA19BF">
      <w:pPr>
        <w:pStyle w:val="ECHRTitle1"/>
        <w:rPr>
          <w:lang w:val="fr-FR"/>
        </w:rPr>
      </w:pPr>
      <w:r w:rsidRPr="0072720E">
        <w:rPr>
          <w:lang w:val="fr-FR"/>
        </w:rPr>
        <w:t>EN DROIT</w:t>
      </w:r>
    </w:p>
    <w:p w:rsidR="006F453D" w:rsidRPr="00BC2846" w:rsidRDefault="006F453D" w:rsidP="008626FD">
      <w:pPr>
        <w:pStyle w:val="ECHRHeading2"/>
        <w:rPr>
          <w:lang w:val="fr-FR"/>
        </w:rPr>
      </w:pPr>
      <w:r w:rsidRPr="00BC2846">
        <w:rPr>
          <w:lang w:val="fr-FR"/>
        </w:rPr>
        <w:t>A.  Article 3 de la Convention</w:t>
      </w:r>
    </w:p>
    <w:p w:rsidR="006F453D" w:rsidRPr="003D01F1" w:rsidRDefault="006F453D" w:rsidP="00BA19BF">
      <w:pPr>
        <w:pStyle w:val="ECHRPara"/>
        <w:rPr>
          <w:rFonts w:eastAsiaTheme="minorHAnsi"/>
          <w:lang w:val="fr-FR"/>
        </w:rPr>
      </w:pPr>
      <w:r>
        <w:rPr>
          <w:rFonts w:eastAsiaTheme="minorHAnsi"/>
          <w:lang w:val="fr-FR"/>
        </w:rPr>
        <w:t>18.  </w:t>
      </w:r>
      <w:r w:rsidRPr="003D01F1">
        <w:rPr>
          <w:rFonts w:eastAsiaTheme="minorHAnsi"/>
          <w:lang w:val="fr-FR"/>
        </w:rPr>
        <w:t xml:space="preserve">Le requérant allègue que </w:t>
      </w:r>
      <w:r w:rsidRPr="00495DBE">
        <w:rPr>
          <w:rStyle w:val="sb8d990e2"/>
          <w:lang w:val="fr-FR"/>
        </w:rPr>
        <w:t>sa soumission</w:t>
      </w:r>
      <w:r>
        <w:rPr>
          <w:rStyle w:val="sb8d990e2"/>
          <w:lang w:val="fr-FR"/>
        </w:rPr>
        <w:t>, depuis 1994,</w:t>
      </w:r>
      <w:r w:rsidRPr="00495DBE">
        <w:rPr>
          <w:rStyle w:val="sb8d990e2"/>
          <w:lang w:val="fr-FR"/>
        </w:rPr>
        <w:t xml:space="preserve"> au régime </w:t>
      </w:r>
      <w:r>
        <w:rPr>
          <w:rStyle w:val="sb8d990e2"/>
          <w:lang w:val="fr-FR"/>
        </w:rPr>
        <w:t xml:space="preserve">spécial </w:t>
      </w:r>
      <w:r w:rsidRPr="00495DBE">
        <w:rPr>
          <w:rStyle w:val="sb8d990e2"/>
          <w:lang w:val="fr-FR"/>
        </w:rPr>
        <w:t>de détention prévu par l</w:t>
      </w:r>
      <w:r w:rsidR="00F21895">
        <w:rPr>
          <w:rStyle w:val="sb8d990e2"/>
          <w:lang w:val="fr-FR"/>
        </w:rPr>
        <w:t>’</w:t>
      </w:r>
      <w:r w:rsidRPr="00495DBE">
        <w:rPr>
          <w:rStyle w:val="sb8d990e2"/>
          <w:lang w:val="fr-FR"/>
        </w:rPr>
        <w:t xml:space="preserve">article </w:t>
      </w:r>
      <w:bookmarkStart w:id="1" w:name="_1000001"/>
      <w:bookmarkStart w:id="2" w:name="HIT5"/>
      <w:bookmarkEnd w:id="1"/>
      <w:bookmarkEnd w:id="2"/>
      <w:r w:rsidRPr="00495DBE">
        <w:rPr>
          <w:rStyle w:val="sb8d990e2"/>
          <w:lang w:val="fr-FR"/>
        </w:rPr>
        <w:t>41</w:t>
      </w:r>
      <w:r w:rsidRPr="00C20869">
        <w:rPr>
          <w:rStyle w:val="s6b621b36"/>
          <w:i/>
          <w:lang w:val="fr-FR"/>
        </w:rPr>
        <w:t>bis</w:t>
      </w:r>
      <w:r w:rsidRPr="00495DBE">
        <w:rPr>
          <w:rStyle w:val="s6b621b36"/>
          <w:lang w:val="fr-FR"/>
        </w:rPr>
        <w:t xml:space="preserve"> </w:t>
      </w:r>
      <w:r w:rsidRPr="00495DBE">
        <w:rPr>
          <w:rStyle w:val="sb8d990e2"/>
          <w:lang w:val="fr-FR"/>
        </w:rPr>
        <w:t>de la loi sur l</w:t>
      </w:r>
      <w:r w:rsidR="00F21895">
        <w:rPr>
          <w:rStyle w:val="sb8d990e2"/>
          <w:lang w:val="fr-FR"/>
        </w:rPr>
        <w:t>’</w:t>
      </w:r>
      <w:r w:rsidRPr="00495DBE">
        <w:rPr>
          <w:rStyle w:val="sb8d990e2"/>
          <w:lang w:val="fr-FR"/>
        </w:rPr>
        <w:t xml:space="preserve">organisation pénitentiaire, ainsi que les fouilles corporelles </w:t>
      </w:r>
      <w:r>
        <w:rPr>
          <w:rStyle w:val="sb8d990e2"/>
          <w:lang w:val="fr-FR"/>
        </w:rPr>
        <w:t>qu</w:t>
      </w:r>
      <w:r w:rsidR="00F21895">
        <w:rPr>
          <w:rStyle w:val="sb8d990e2"/>
          <w:lang w:val="fr-FR"/>
        </w:rPr>
        <w:t>’</w:t>
      </w:r>
      <w:r>
        <w:rPr>
          <w:rStyle w:val="sb8d990e2"/>
          <w:lang w:val="fr-FR"/>
        </w:rPr>
        <w:t>il subit</w:t>
      </w:r>
      <w:r w:rsidRPr="00495DBE">
        <w:rPr>
          <w:rStyle w:val="sb8d990e2"/>
          <w:lang w:val="fr-FR"/>
        </w:rPr>
        <w:t xml:space="preserve"> et la vidéosurveillance de sa cellule s</w:t>
      </w:r>
      <w:r w:rsidR="00F21895">
        <w:rPr>
          <w:rStyle w:val="sb8d990e2"/>
          <w:lang w:val="fr-FR"/>
        </w:rPr>
        <w:t>’</w:t>
      </w:r>
      <w:r w:rsidRPr="00495DBE">
        <w:rPr>
          <w:rStyle w:val="sb8d990e2"/>
          <w:lang w:val="fr-FR"/>
        </w:rPr>
        <w:t>analysent en des traitements contraires à l</w:t>
      </w:r>
      <w:r w:rsidR="00F21895">
        <w:rPr>
          <w:rStyle w:val="sb8d990e2"/>
          <w:lang w:val="fr-FR"/>
        </w:rPr>
        <w:t>’</w:t>
      </w:r>
      <w:r w:rsidRPr="00495DBE">
        <w:rPr>
          <w:rStyle w:val="sb8d990e2"/>
          <w:lang w:val="fr-FR"/>
        </w:rPr>
        <w:t>article 3 de la Convention</w:t>
      </w:r>
      <w:r w:rsidRPr="003D01F1">
        <w:rPr>
          <w:rFonts w:eastAsiaTheme="minorHAnsi"/>
          <w:lang w:val="fr-FR"/>
        </w:rPr>
        <w:t>. Aux termes de cette disposition :</w:t>
      </w:r>
    </w:p>
    <w:p w:rsidR="006F453D" w:rsidRPr="003D01F1" w:rsidRDefault="006F453D" w:rsidP="00BA19BF">
      <w:pPr>
        <w:pStyle w:val="ECHRParaQuote"/>
        <w:rPr>
          <w:rFonts w:eastAsiaTheme="minorHAnsi"/>
          <w:lang w:val="fr-FR"/>
        </w:rPr>
      </w:pPr>
      <w:r w:rsidRPr="003D01F1">
        <w:rPr>
          <w:rFonts w:eastAsiaTheme="minorHAnsi"/>
          <w:lang w:val="fr-FR"/>
        </w:rPr>
        <w:t>« Nul ne peut être soumis à la torture ni à des peines ou traitements inhumains ou dégradants. »</w:t>
      </w:r>
    </w:p>
    <w:p w:rsidR="006F453D" w:rsidRPr="00710F33" w:rsidRDefault="006F453D" w:rsidP="00BA19BF">
      <w:pPr>
        <w:pStyle w:val="ECHRPara"/>
        <w:rPr>
          <w:rFonts w:eastAsiaTheme="minorHAnsi"/>
          <w:lang w:val="fr-FR"/>
        </w:rPr>
      </w:pPr>
      <w:r>
        <w:rPr>
          <w:rFonts w:eastAsiaTheme="minorHAnsi"/>
          <w:lang w:val="fr-FR"/>
        </w:rPr>
        <w:t>19.  </w:t>
      </w:r>
      <w:r w:rsidRPr="003D01F1">
        <w:rPr>
          <w:rFonts w:eastAsiaTheme="minorHAnsi"/>
          <w:lang w:val="fr-FR"/>
        </w:rPr>
        <w:t>Le Gouv</w:t>
      </w:r>
      <w:bookmarkStart w:id="3" w:name="OLE_LINK1"/>
      <w:r>
        <w:rPr>
          <w:rFonts w:eastAsiaTheme="minorHAnsi"/>
          <w:lang w:val="fr-FR"/>
        </w:rPr>
        <w:t xml:space="preserve">ernement </w:t>
      </w:r>
      <w:r w:rsidRPr="00710F33">
        <w:rPr>
          <w:rFonts w:eastAsiaTheme="minorHAnsi"/>
          <w:lang w:val="fr-FR"/>
        </w:rPr>
        <w:t>estime que les restrictions imposées au requérant par le régime de détention spécial n</w:t>
      </w:r>
      <w:r w:rsidR="00F21895">
        <w:rPr>
          <w:rFonts w:eastAsiaTheme="minorHAnsi"/>
          <w:lang w:val="fr-FR"/>
        </w:rPr>
        <w:t>’</w:t>
      </w:r>
      <w:r w:rsidRPr="00710F33">
        <w:rPr>
          <w:rFonts w:eastAsiaTheme="minorHAnsi"/>
          <w:lang w:val="fr-FR"/>
        </w:rPr>
        <w:t>ont pas atteint le niveau minimum de gravité requis pour tomber dans le champ d</w:t>
      </w:r>
      <w:r w:rsidR="00F21895">
        <w:rPr>
          <w:rFonts w:eastAsiaTheme="minorHAnsi"/>
          <w:lang w:val="fr-FR"/>
        </w:rPr>
        <w:t>’</w:t>
      </w:r>
      <w:r w:rsidRPr="00710F33">
        <w:rPr>
          <w:rFonts w:eastAsiaTheme="minorHAnsi"/>
          <w:lang w:val="fr-FR"/>
        </w:rPr>
        <w:t>application de l</w:t>
      </w:r>
      <w:r w:rsidR="00F21895">
        <w:rPr>
          <w:rFonts w:eastAsiaTheme="minorHAnsi"/>
          <w:lang w:val="fr-FR"/>
        </w:rPr>
        <w:t>’</w:t>
      </w:r>
      <w:r w:rsidRPr="00710F33">
        <w:rPr>
          <w:rFonts w:eastAsiaTheme="minorHAnsi"/>
          <w:lang w:val="fr-FR"/>
        </w:rPr>
        <w:t xml:space="preserve">article 3 de la Convention. Il </w:t>
      </w:r>
      <w:r>
        <w:rPr>
          <w:rFonts w:eastAsiaTheme="minorHAnsi"/>
          <w:lang w:val="fr-FR"/>
        </w:rPr>
        <w:t>considère</w:t>
      </w:r>
      <w:r w:rsidRPr="00710F33">
        <w:rPr>
          <w:rFonts w:eastAsiaTheme="minorHAnsi"/>
          <w:lang w:val="fr-FR"/>
        </w:rPr>
        <w:t xml:space="preserve"> ces restrictions strictement nécessaires pour empêcher le requérant, socialement dangereux, de garder des contacts avec l</w:t>
      </w:r>
      <w:r w:rsidR="00F21895">
        <w:rPr>
          <w:rFonts w:eastAsiaTheme="minorHAnsi"/>
          <w:lang w:val="fr-FR"/>
        </w:rPr>
        <w:t>’</w:t>
      </w:r>
      <w:r w:rsidRPr="00710F33">
        <w:rPr>
          <w:rFonts w:eastAsiaTheme="minorHAnsi"/>
          <w:lang w:val="fr-FR"/>
        </w:rPr>
        <w:t>organisation c</w:t>
      </w:r>
      <w:r>
        <w:rPr>
          <w:rFonts w:eastAsiaTheme="minorHAnsi"/>
          <w:lang w:val="fr-FR"/>
        </w:rPr>
        <w:t>riminelle à laquelle il appart</w:t>
      </w:r>
      <w:r w:rsidRPr="00710F33">
        <w:rPr>
          <w:rFonts w:eastAsiaTheme="minorHAnsi"/>
          <w:lang w:val="fr-FR"/>
        </w:rPr>
        <w:t>i</w:t>
      </w:r>
      <w:r>
        <w:rPr>
          <w:rFonts w:eastAsiaTheme="minorHAnsi"/>
          <w:lang w:val="fr-FR"/>
        </w:rPr>
        <w:t>en</w:t>
      </w:r>
      <w:r w:rsidRPr="00710F33">
        <w:rPr>
          <w:rFonts w:eastAsiaTheme="minorHAnsi"/>
          <w:lang w:val="fr-FR"/>
        </w:rPr>
        <w:t>t.</w:t>
      </w:r>
    </w:p>
    <w:p w:rsidR="006F453D" w:rsidRPr="007939C1" w:rsidRDefault="006F453D" w:rsidP="00BA19BF">
      <w:pPr>
        <w:pStyle w:val="ECHRPara"/>
        <w:rPr>
          <w:rFonts w:eastAsiaTheme="minorHAnsi"/>
          <w:lang w:val="fr-FR"/>
        </w:rPr>
      </w:pPr>
      <w:r>
        <w:rPr>
          <w:rFonts w:eastAsiaTheme="minorHAnsi"/>
          <w:lang w:val="fr-FR"/>
        </w:rPr>
        <w:t>20.  </w:t>
      </w:r>
      <w:r w:rsidRPr="007939C1">
        <w:rPr>
          <w:rFonts w:eastAsiaTheme="minorHAnsi"/>
          <w:lang w:val="fr-FR"/>
        </w:rPr>
        <w:t>Pour ce qui est des fouilles corporelles, il observe que celles-ci se sont limitées aux seules occasions pendant lesquelles le détenu est entré en contact direct et physique avec des tiers venus de l</w:t>
      </w:r>
      <w:r w:rsidR="00F21895">
        <w:rPr>
          <w:rFonts w:eastAsiaTheme="minorHAnsi"/>
          <w:lang w:val="fr-FR"/>
        </w:rPr>
        <w:t>’</w:t>
      </w:r>
      <w:r w:rsidRPr="007939C1">
        <w:rPr>
          <w:rFonts w:eastAsiaTheme="minorHAnsi"/>
          <w:lang w:val="fr-FR"/>
        </w:rPr>
        <w:t>extérieur, sans aucune séparation ou protection.</w:t>
      </w:r>
    </w:p>
    <w:p w:rsidR="006F453D" w:rsidRPr="007939C1" w:rsidRDefault="006F453D" w:rsidP="00BA19BF">
      <w:pPr>
        <w:pStyle w:val="ECHRPara"/>
        <w:rPr>
          <w:rFonts w:eastAsiaTheme="minorHAnsi"/>
          <w:lang w:val="fr-FR"/>
        </w:rPr>
      </w:pPr>
      <w:r>
        <w:rPr>
          <w:rFonts w:eastAsiaTheme="minorHAnsi"/>
          <w:lang w:val="fr-FR"/>
        </w:rPr>
        <w:t>21.  </w:t>
      </w:r>
      <w:r w:rsidRPr="007939C1">
        <w:rPr>
          <w:rFonts w:eastAsiaTheme="minorHAnsi"/>
          <w:lang w:val="fr-FR"/>
        </w:rPr>
        <w:t>Le Gouvernement souligne que les détenus sont soumis aux fouilles corporelles lorsque cela s</w:t>
      </w:r>
      <w:r w:rsidR="00F21895">
        <w:rPr>
          <w:rFonts w:eastAsiaTheme="minorHAnsi"/>
          <w:lang w:val="fr-FR"/>
        </w:rPr>
        <w:t>’</w:t>
      </w:r>
      <w:r w:rsidRPr="007939C1">
        <w:rPr>
          <w:rFonts w:eastAsiaTheme="minorHAnsi"/>
          <w:lang w:val="fr-FR"/>
        </w:rPr>
        <w:t>avère nécessaire dans un but légitime, à savoir la protection de l</w:t>
      </w:r>
      <w:r w:rsidR="00F21895">
        <w:rPr>
          <w:rFonts w:eastAsiaTheme="minorHAnsi"/>
          <w:lang w:val="fr-FR"/>
        </w:rPr>
        <w:t>’</w:t>
      </w:r>
      <w:r w:rsidRPr="007939C1">
        <w:rPr>
          <w:rFonts w:eastAsiaTheme="minorHAnsi"/>
          <w:lang w:val="fr-FR"/>
        </w:rPr>
        <w:t>ordre et de la sécurité</w:t>
      </w:r>
      <w:r>
        <w:rPr>
          <w:rFonts w:eastAsiaTheme="minorHAnsi"/>
          <w:lang w:val="fr-FR"/>
        </w:rPr>
        <w:t xml:space="preserve"> dans les prisons</w:t>
      </w:r>
      <w:r w:rsidRPr="007939C1">
        <w:rPr>
          <w:rFonts w:eastAsiaTheme="minorHAnsi"/>
          <w:lang w:val="fr-FR"/>
        </w:rPr>
        <w:t>. Il note aussi qu</w:t>
      </w:r>
      <w:r w:rsidR="00F21895">
        <w:rPr>
          <w:rFonts w:eastAsiaTheme="minorHAnsi"/>
          <w:lang w:val="fr-FR"/>
        </w:rPr>
        <w:t>’</w:t>
      </w:r>
      <w:r w:rsidRPr="007939C1">
        <w:rPr>
          <w:rFonts w:eastAsiaTheme="minorHAnsi"/>
          <w:lang w:val="fr-FR"/>
        </w:rPr>
        <w:t>elles sont proportionnées au but poursuivi dans la mesure où une fouille superficielle ne suffirait pas à écarter tout risque de présence d</w:t>
      </w:r>
      <w:r w:rsidR="00F21895">
        <w:rPr>
          <w:rFonts w:eastAsiaTheme="minorHAnsi"/>
          <w:lang w:val="fr-FR"/>
        </w:rPr>
        <w:t>’</w:t>
      </w:r>
      <w:r w:rsidRPr="007939C1">
        <w:rPr>
          <w:rFonts w:eastAsiaTheme="minorHAnsi"/>
          <w:lang w:val="fr-FR"/>
        </w:rPr>
        <w:t>objets interdits dans les cavités corporelles. Il souligne ensuite que ces fouilles ont lieu de manière discrète et dans des conditions propres à assurer le respect de la dignité de la personne.</w:t>
      </w:r>
    </w:p>
    <w:p w:rsidR="006F453D" w:rsidRDefault="006F453D" w:rsidP="00BA19BF">
      <w:pPr>
        <w:pStyle w:val="ECHRPara"/>
        <w:rPr>
          <w:rFonts w:eastAsiaTheme="minorHAnsi"/>
          <w:lang w:val="fr-FR"/>
        </w:rPr>
      </w:pPr>
      <w:r>
        <w:rPr>
          <w:rFonts w:eastAsiaTheme="minorHAnsi"/>
          <w:lang w:val="fr-FR"/>
        </w:rPr>
        <w:t>22.  </w:t>
      </w:r>
      <w:r w:rsidRPr="00EF72BC">
        <w:rPr>
          <w:rFonts w:eastAsiaTheme="minorHAnsi"/>
          <w:lang w:val="fr-FR"/>
        </w:rPr>
        <w:t xml:space="preserve">Pour ce qui est de la vidéosurveillance de la cellule, le Gouvernement </w:t>
      </w:r>
      <w:r>
        <w:rPr>
          <w:rFonts w:eastAsiaTheme="minorHAnsi"/>
          <w:lang w:val="fr-FR"/>
        </w:rPr>
        <w:t>affirme</w:t>
      </w:r>
      <w:r w:rsidRPr="00EF72BC">
        <w:rPr>
          <w:rFonts w:eastAsiaTheme="minorHAnsi"/>
          <w:lang w:val="fr-FR"/>
        </w:rPr>
        <w:t xml:space="preserve"> qu</w:t>
      </w:r>
      <w:r w:rsidR="00F21895">
        <w:rPr>
          <w:rFonts w:eastAsiaTheme="minorHAnsi"/>
          <w:lang w:val="fr-FR"/>
        </w:rPr>
        <w:t>’</w:t>
      </w:r>
      <w:r w:rsidRPr="00EF72BC">
        <w:rPr>
          <w:rFonts w:eastAsiaTheme="minorHAnsi"/>
          <w:lang w:val="fr-FR"/>
        </w:rPr>
        <w:t>il s</w:t>
      </w:r>
      <w:r w:rsidR="00F21895">
        <w:rPr>
          <w:rFonts w:eastAsiaTheme="minorHAnsi"/>
          <w:lang w:val="fr-FR"/>
        </w:rPr>
        <w:t>’</w:t>
      </w:r>
      <w:r w:rsidRPr="00EF72BC">
        <w:rPr>
          <w:rFonts w:eastAsiaTheme="minorHAnsi"/>
          <w:lang w:val="fr-FR"/>
        </w:rPr>
        <w:t>agit d</w:t>
      </w:r>
      <w:r w:rsidR="00F21895">
        <w:rPr>
          <w:rFonts w:eastAsiaTheme="minorHAnsi"/>
          <w:lang w:val="fr-FR"/>
        </w:rPr>
        <w:t>’</w:t>
      </w:r>
      <w:r w:rsidRPr="00EF72BC">
        <w:rPr>
          <w:rFonts w:eastAsiaTheme="minorHAnsi"/>
          <w:lang w:val="fr-FR"/>
        </w:rPr>
        <w:t>une mesure de précaution visant à préserver l</w:t>
      </w:r>
      <w:r w:rsidR="00F21895">
        <w:rPr>
          <w:rFonts w:eastAsiaTheme="minorHAnsi"/>
          <w:lang w:val="fr-FR"/>
        </w:rPr>
        <w:t>’</w:t>
      </w:r>
      <w:r w:rsidRPr="00EF72BC">
        <w:rPr>
          <w:rFonts w:eastAsiaTheme="minorHAnsi"/>
          <w:lang w:val="fr-FR"/>
        </w:rPr>
        <w:t xml:space="preserve">ordre et utile pour intervenir en cas de danger menaçant le détenu. </w:t>
      </w:r>
      <w:r>
        <w:rPr>
          <w:rFonts w:eastAsiaTheme="minorHAnsi"/>
          <w:lang w:val="fr-FR"/>
        </w:rPr>
        <w:t>Il s</w:t>
      </w:r>
      <w:r w:rsidR="00F21895">
        <w:rPr>
          <w:rFonts w:eastAsiaTheme="minorHAnsi"/>
          <w:lang w:val="fr-FR"/>
        </w:rPr>
        <w:t>’</w:t>
      </w:r>
      <w:r>
        <w:rPr>
          <w:rFonts w:eastAsiaTheme="minorHAnsi"/>
          <w:lang w:val="fr-FR"/>
        </w:rPr>
        <w:t>agirait d</w:t>
      </w:r>
      <w:r w:rsidR="00F21895">
        <w:rPr>
          <w:rFonts w:eastAsiaTheme="minorHAnsi"/>
          <w:lang w:val="fr-FR"/>
        </w:rPr>
        <w:t>’</w:t>
      </w:r>
      <w:r>
        <w:rPr>
          <w:rFonts w:eastAsiaTheme="minorHAnsi"/>
          <w:lang w:val="fr-FR"/>
        </w:rPr>
        <w:t xml:space="preserve">une méthode de surveillance moins intrusive que les </w:t>
      </w:r>
      <w:r>
        <w:rPr>
          <w:rFonts w:eastAsiaTheme="minorHAnsi"/>
          <w:lang w:val="fr-FR"/>
        </w:rPr>
        <w:lastRenderedPageBreak/>
        <w:t>contrôles visuels traditionnels (à travers les judas ou par l</w:t>
      </w:r>
      <w:r w:rsidR="00F21895">
        <w:rPr>
          <w:rFonts w:eastAsiaTheme="minorHAnsi"/>
          <w:lang w:val="fr-FR"/>
        </w:rPr>
        <w:t>’</w:t>
      </w:r>
      <w:r>
        <w:rPr>
          <w:rFonts w:eastAsiaTheme="minorHAnsi"/>
          <w:lang w:val="fr-FR"/>
        </w:rPr>
        <w:t>accès direct à la cellule). Cette mesure poursuivrait</w:t>
      </w:r>
      <w:r w:rsidRPr="00EF72BC">
        <w:rPr>
          <w:rFonts w:eastAsiaTheme="minorHAnsi"/>
          <w:lang w:val="fr-FR"/>
        </w:rPr>
        <w:t xml:space="preserve"> un but légitime, qui n</w:t>
      </w:r>
      <w:r w:rsidR="00F21895">
        <w:rPr>
          <w:rFonts w:eastAsiaTheme="minorHAnsi"/>
          <w:lang w:val="fr-FR"/>
        </w:rPr>
        <w:t>’</w:t>
      </w:r>
      <w:r w:rsidRPr="00EF72BC">
        <w:rPr>
          <w:rFonts w:eastAsiaTheme="minorHAnsi"/>
          <w:lang w:val="fr-FR"/>
        </w:rPr>
        <w:t>aggrave</w:t>
      </w:r>
      <w:r>
        <w:rPr>
          <w:rFonts w:eastAsiaTheme="minorHAnsi"/>
          <w:lang w:val="fr-FR"/>
        </w:rPr>
        <w:t>rait</w:t>
      </w:r>
      <w:r w:rsidRPr="00EF72BC">
        <w:rPr>
          <w:rFonts w:eastAsiaTheme="minorHAnsi"/>
          <w:lang w:val="fr-FR"/>
        </w:rPr>
        <w:t xml:space="preserve"> pas </w:t>
      </w:r>
      <w:r>
        <w:rPr>
          <w:rFonts w:eastAsiaTheme="minorHAnsi"/>
          <w:lang w:val="fr-FR"/>
        </w:rPr>
        <w:t>de manière</w:t>
      </w:r>
      <w:r w:rsidRPr="00EF72BC">
        <w:rPr>
          <w:rFonts w:eastAsiaTheme="minorHAnsi"/>
          <w:lang w:val="fr-FR"/>
        </w:rPr>
        <w:t xml:space="preserve"> significative les limitations de la liberté individuelle et du respect de la vie privée nécessairement inhérentes à l</w:t>
      </w:r>
      <w:r w:rsidR="00F21895">
        <w:rPr>
          <w:rFonts w:eastAsiaTheme="minorHAnsi"/>
          <w:lang w:val="fr-FR"/>
        </w:rPr>
        <w:t>’</w:t>
      </w:r>
      <w:r w:rsidRPr="00EF72BC">
        <w:rPr>
          <w:rFonts w:eastAsiaTheme="minorHAnsi"/>
          <w:lang w:val="fr-FR"/>
        </w:rPr>
        <w:t>état de détention.</w:t>
      </w:r>
    </w:p>
    <w:p w:rsidR="006F453D" w:rsidRPr="006B0EBF" w:rsidRDefault="006F453D" w:rsidP="00BA19BF">
      <w:pPr>
        <w:pStyle w:val="ECHRPara"/>
        <w:rPr>
          <w:rFonts w:eastAsiaTheme="minorHAnsi"/>
          <w:lang w:val="fr-FR"/>
        </w:rPr>
      </w:pPr>
      <w:r>
        <w:rPr>
          <w:rStyle w:val="sb8d990e2"/>
          <w:lang w:val="fr-FR"/>
        </w:rPr>
        <w:t>23.  D</w:t>
      </w:r>
      <w:r w:rsidR="00F21895">
        <w:rPr>
          <w:rStyle w:val="sb8d990e2"/>
          <w:lang w:val="fr-FR"/>
        </w:rPr>
        <w:t>’</w:t>
      </w:r>
      <w:r>
        <w:rPr>
          <w:rStyle w:val="sb8d990e2"/>
          <w:lang w:val="fr-FR"/>
        </w:rPr>
        <w:t>après</w:t>
      </w:r>
      <w:r w:rsidRPr="006B0EBF">
        <w:rPr>
          <w:rStyle w:val="sb8d990e2"/>
          <w:lang w:val="fr-FR"/>
        </w:rPr>
        <w:t xml:space="preserve"> le requérant, les restrictions </w:t>
      </w:r>
      <w:r>
        <w:rPr>
          <w:rStyle w:val="sb8d990e2"/>
          <w:lang w:val="fr-FR"/>
        </w:rPr>
        <w:t>qu</w:t>
      </w:r>
      <w:r w:rsidR="00F21895">
        <w:rPr>
          <w:rStyle w:val="sb8d990e2"/>
          <w:lang w:val="fr-FR"/>
        </w:rPr>
        <w:t>’</w:t>
      </w:r>
      <w:r>
        <w:rPr>
          <w:rStyle w:val="sb8d990e2"/>
          <w:lang w:val="fr-FR"/>
        </w:rPr>
        <w:t xml:space="preserve">il subit </w:t>
      </w:r>
      <w:r w:rsidRPr="006B0EBF">
        <w:rPr>
          <w:rStyle w:val="sb8d990e2"/>
          <w:lang w:val="fr-FR"/>
        </w:rPr>
        <w:t xml:space="preserve">portent </w:t>
      </w:r>
      <w:r>
        <w:rPr>
          <w:rStyle w:val="sb8d990e2"/>
          <w:lang w:val="fr-FR"/>
        </w:rPr>
        <w:t xml:space="preserve">clairement </w:t>
      </w:r>
      <w:r w:rsidRPr="006B0EBF">
        <w:rPr>
          <w:rStyle w:val="sb8d990e2"/>
          <w:lang w:val="fr-FR"/>
        </w:rPr>
        <w:t>atteinte à l</w:t>
      </w:r>
      <w:r w:rsidR="00F21895">
        <w:rPr>
          <w:rStyle w:val="sb8d990e2"/>
          <w:lang w:val="fr-FR"/>
        </w:rPr>
        <w:t>’</w:t>
      </w:r>
      <w:r w:rsidRPr="006B0EBF">
        <w:rPr>
          <w:rStyle w:val="sb8d990e2"/>
          <w:lang w:val="fr-FR"/>
        </w:rPr>
        <w:t>article 3 de la Convention.</w:t>
      </w:r>
    </w:p>
    <w:p w:rsidR="006F453D" w:rsidRDefault="006F453D" w:rsidP="00BA19BF">
      <w:pPr>
        <w:pStyle w:val="ECHRPara"/>
        <w:rPr>
          <w:lang w:val="fr-FR"/>
        </w:rPr>
      </w:pPr>
      <w:r>
        <w:rPr>
          <w:lang w:val="fr-FR"/>
        </w:rPr>
        <w:t>24.  </w:t>
      </w:r>
      <w:r w:rsidRPr="00174C28">
        <w:rPr>
          <w:lang w:val="fr-FR"/>
        </w:rPr>
        <w:t>Selon la jurisprudence de la Cour, pour tomber sous le coup de l</w:t>
      </w:r>
      <w:r w:rsidR="00F21895">
        <w:rPr>
          <w:lang w:val="fr-FR"/>
        </w:rPr>
        <w:t>’</w:t>
      </w:r>
      <w:r w:rsidRPr="00174C28">
        <w:rPr>
          <w:lang w:val="fr-FR"/>
        </w:rPr>
        <w:t>article</w:t>
      </w:r>
      <w:r>
        <w:rPr>
          <w:lang w:val="fr-FR"/>
        </w:rPr>
        <w:t xml:space="preserve"> </w:t>
      </w:r>
      <w:r w:rsidRPr="00174C28">
        <w:rPr>
          <w:lang w:val="fr-FR"/>
        </w:rPr>
        <w:t>3, un mauvais traitement doit atteindre un minimum de gravité. L</w:t>
      </w:r>
      <w:r w:rsidR="00F21895">
        <w:rPr>
          <w:lang w:val="fr-FR"/>
        </w:rPr>
        <w:t>’</w:t>
      </w:r>
      <w:r w:rsidRPr="00174C28">
        <w:rPr>
          <w:lang w:val="fr-FR"/>
        </w:rPr>
        <w:t>appréciation de ce minimum est relative par essence ; elle dépend de l</w:t>
      </w:r>
      <w:r w:rsidR="00F21895">
        <w:rPr>
          <w:lang w:val="fr-FR"/>
        </w:rPr>
        <w:t>’</w:t>
      </w:r>
      <w:r w:rsidRPr="00174C28">
        <w:rPr>
          <w:lang w:val="fr-FR"/>
        </w:rPr>
        <w:t>ensemble des données de l</w:t>
      </w:r>
      <w:r w:rsidR="00F21895">
        <w:rPr>
          <w:lang w:val="fr-FR"/>
        </w:rPr>
        <w:t>’</w:t>
      </w:r>
      <w:r w:rsidRPr="00174C28">
        <w:rPr>
          <w:lang w:val="fr-FR"/>
        </w:rPr>
        <w:t>espèce, notamment de la durée du traitement et de ses effets physiques ou mentaux, ainsi que, parfois, du sexe, de l</w:t>
      </w:r>
      <w:r w:rsidR="00F21895">
        <w:rPr>
          <w:lang w:val="fr-FR"/>
        </w:rPr>
        <w:t>’</w:t>
      </w:r>
      <w:r w:rsidRPr="00174C28">
        <w:rPr>
          <w:lang w:val="fr-FR"/>
        </w:rPr>
        <w:t>âge, de l</w:t>
      </w:r>
      <w:r w:rsidR="00F21895">
        <w:rPr>
          <w:lang w:val="fr-FR"/>
        </w:rPr>
        <w:t>’</w:t>
      </w:r>
      <w:r w:rsidRPr="00174C28">
        <w:rPr>
          <w:lang w:val="fr-FR"/>
        </w:rPr>
        <w:t>état de santé de la victime, etc. (voir, parmi d</w:t>
      </w:r>
      <w:r w:rsidR="00F21895">
        <w:rPr>
          <w:lang w:val="fr-FR"/>
        </w:rPr>
        <w:t>’</w:t>
      </w:r>
      <w:r w:rsidRPr="00174C28">
        <w:rPr>
          <w:lang w:val="fr-FR"/>
        </w:rPr>
        <w:t xml:space="preserve">autres, les arrêts </w:t>
      </w:r>
      <w:r>
        <w:rPr>
          <w:i/>
          <w:lang w:val="fr-FR"/>
        </w:rPr>
        <w:t>Irlande </w:t>
      </w:r>
      <w:r w:rsidRPr="005F7F25">
        <w:rPr>
          <w:i/>
          <w:lang w:val="fr-FR"/>
        </w:rPr>
        <w:t>c.</w:t>
      </w:r>
      <w:r>
        <w:rPr>
          <w:i/>
          <w:lang w:val="fr-FR"/>
        </w:rPr>
        <w:t> </w:t>
      </w:r>
      <w:r w:rsidRPr="005F7F25">
        <w:rPr>
          <w:i/>
          <w:lang w:val="fr-FR"/>
        </w:rPr>
        <w:t>Royaume-Uni</w:t>
      </w:r>
      <w:r>
        <w:rPr>
          <w:lang w:val="fr-FR"/>
        </w:rPr>
        <w:t xml:space="preserve"> du 18 janvier 1978, série A n</w:t>
      </w:r>
      <w:r w:rsidRPr="00644409">
        <w:rPr>
          <w:vertAlign w:val="superscript"/>
          <w:lang w:val="fr-FR"/>
        </w:rPr>
        <w:t>o</w:t>
      </w:r>
      <w:r>
        <w:rPr>
          <w:lang w:val="fr-FR"/>
        </w:rPr>
        <w:t> </w:t>
      </w:r>
      <w:r w:rsidRPr="00174C28">
        <w:rPr>
          <w:lang w:val="fr-FR"/>
        </w:rPr>
        <w:t xml:space="preserve"> 25, § 162 ; </w:t>
      </w:r>
      <w:r w:rsidRPr="005F7F25">
        <w:rPr>
          <w:i/>
          <w:lang w:val="fr-FR"/>
        </w:rPr>
        <w:t xml:space="preserve">Van der </w:t>
      </w:r>
      <w:proofErr w:type="spellStart"/>
      <w:r w:rsidRPr="005F7F25">
        <w:rPr>
          <w:i/>
          <w:lang w:val="fr-FR"/>
        </w:rPr>
        <w:t>Ven</w:t>
      </w:r>
      <w:proofErr w:type="spellEnd"/>
      <w:r w:rsidRPr="005F7F25">
        <w:rPr>
          <w:i/>
          <w:lang w:val="fr-FR"/>
        </w:rPr>
        <w:t xml:space="preserve"> c. Pays Bas</w:t>
      </w:r>
      <w:r>
        <w:rPr>
          <w:lang w:val="fr-FR"/>
        </w:rPr>
        <w:t>, n</w:t>
      </w:r>
      <w:r w:rsidRPr="00644409">
        <w:rPr>
          <w:vertAlign w:val="superscript"/>
          <w:lang w:val="fr-FR"/>
        </w:rPr>
        <w:t>o</w:t>
      </w:r>
      <w:r>
        <w:rPr>
          <w:lang w:val="fr-FR"/>
        </w:rPr>
        <w:t> </w:t>
      </w:r>
      <w:r w:rsidRPr="00174C28">
        <w:rPr>
          <w:lang w:val="fr-FR"/>
        </w:rPr>
        <w:t xml:space="preserve">50901/99/, CEDH 2003-II, § 47, 4 février 2003 ; </w:t>
      </w:r>
      <w:proofErr w:type="spellStart"/>
      <w:r w:rsidRPr="005F7F25">
        <w:rPr>
          <w:i/>
          <w:lang w:val="fr-FR"/>
        </w:rPr>
        <w:t>Lorsé</w:t>
      </w:r>
      <w:proofErr w:type="spellEnd"/>
      <w:r>
        <w:rPr>
          <w:i/>
          <w:lang w:val="fr-FR"/>
        </w:rPr>
        <w:t> </w:t>
      </w:r>
      <w:r w:rsidRPr="005F7F25">
        <w:rPr>
          <w:i/>
          <w:lang w:val="fr-FR"/>
        </w:rPr>
        <w:t>c. Pays Bas</w:t>
      </w:r>
      <w:r w:rsidRPr="00174C28">
        <w:rPr>
          <w:lang w:val="fr-FR"/>
        </w:rPr>
        <w:t>, n</w:t>
      </w:r>
      <w:r w:rsidRPr="00644409">
        <w:rPr>
          <w:vertAlign w:val="superscript"/>
          <w:lang w:val="fr-FR"/>
        </w:rPr>
        <w:t>o</w:t>
      </w:r>
      <w:r>
        <w:rPr>
          <w:lang w:val="fr-FR"/>
        </w:rPr>
        <w:t> </w:t>
      </w:r>
      <w:hyperlink r:id="rId11" w:anchor="{&quot;appno&quot;:[&quot;52750/99&quot;]}" w:tgtFrame="_blank" w:history="1">
        <w:r w:rsidRPr="00174C28">
          <w:rPr>
            <w:color w:val="000000" w:themeColor="text1"/>
            <w:lang w:val="fr-FR"/>
          </w:rPr>
          <w:t>52750/99</w:t>
        </w:r>
      </w:hyperlink>
      <w:r w:rsidRPr="00174C28">
        <w:rPr>
          <w:lang w:val="fr-FR"/>
        </w:rPr>
        <w:t xml:space="preserve">, § 59, 4 février 2003 ; </w:t>
      </w:r>
      <w:r w:rsidRPr="005F7F25">
        <w:rPr>
          <w:i/>
          <w:lang w:val="fr-FR"/>
        </w:rPr>
        <w:t>Frérot c. France</w:t>
      </w:r>
      <w:r w:rsidRPr="00174C28">
        <w:rPr>
          <w:lang w:val="fr-FR"/>
        </w:rPr>
        <w:t xml:space="preserve">, </w:t>
      </w:r>
      <w:r>
        <w:rPr>
          <w:lang w:val="fr-FR"/>
        </w:rPr>
        <w:t>n</w:t>
      </w:r>
      <w:r w:rsidRPr="00644409">
        <w:rPr>
          <w:vertAlign w:val="superscript"/>
          <w:lang w:val="fr-FR"/>
        </w:rPr>
        <w:t>o</w:t>
      </w:r>
      <w:r>
        <w:rPr>
          <w:lang w:val="fr-FR"/>
        </w:rPr>
        <w:t> </w:t>
      </w:r>
      <w:hyperlink r:id="rId12" w:anchor="{&quot;appno&quot;:[&quot;70204/01&quot;]}" w:tgtFrame="_blank" w:history="1">
        <w:r w:rsidRPr="00174C28">
          <w:rPr>
            <w:lang w:val="fr-FR"/>
          </w:rPr>
          <w:t>70204/01</w:t>
        </w:r>
      </w:hyperlink>
      <w:r w:rsidRPr="00174C28">
        <w:rPr>
          <w:lang w:val="fr-FR"/>
        </w:rPr>
        <w:t>, § 35, 12</w:t>
      </w:r>
      <w:r>
        <w:rPr>
          <w:lang w:val="fr-FR"/>
        </w:rPr>
        <w:t> </w:t>
      </w:r>
      <w:r w:rsidRPr="00174C28">
        <w:rPr>
          <w:lang w:val="fr-FR"/>
        </w:rPr>
        <w:t>juin 2007</w:t>
      </w:r>
      <w:r>
        <w:rPr>
          <w:lang w:val="fr-FR"/>
        </w:rPr>
        <w:t xml:space="preserve"> ; </w:t>
      </w:r>
      <w:proofErr w:type="spellStart"/>
      <w:r>
        <w:rPr>
          <w:i/>
          <w:lang w:val="fr-FR"/>
        </w:rPr>
        <w:t>Cavallo</w:t>
      </w:r>
      <w:proofErr w:type="spellEnd"/>
      <w:r>
        <w:rPr>
          <w:i/>
          <w:lang w:val="fr-FR"/>
        </w:rPr>
        <w:t xml:space="preserve"> c. Italie</w:t>
      </w:r>
      <w:r>
        <w:rPr>
          <w:lang w:val="fr-FR"/>
        </w:rPr>
        <w:t>, n</w:t>
      </w:r>
      <w:r w:rsidRPr="00216465">
        <w:rPr>
          <w:vertAlign w:val="superscript"/>
          <w:lang w:val="fr-FR"/>
        </w:rPr>
        <w:t>o</w:t>
      </w:r>
      <w:r>
        <w:rPr>
          <w:lang w:val="fr-FR"/>
        </w:rPr>
        <w:t xml:space="preserve"> 9786/03, 4 mars 2008,</w:t>
      </w:r>
      <w:r w:rsidRPr="00C97D5A">
        <w:rPr>
          <w:rFonts w:eastAsiaTheme="minorHAnsi"/>
          <w:lang w:val="fr-FR"/>
        </w:rPr>
        <w:t xml:space="preserve"> </w:t>
      </w:r>
      <w:r>
        <w:rPr>
          <w:rFonts w:eastAsiaTheme="minorHAnsi"/>
          <w:lang w:val="fr-FR"/>
        </w:rPr>
        <w:t xml:space="preserve">§ 24 ; </w:t>
      </w:r>
      <w:proofErr w:type="spellStart"/>
      <w:r>
        <w:rPr>
          <w:rFonts w:eastAsiaTheme="minorHAnsi"/>
          <w:i/>
          <w:lang w:val="fr-FR"/>
        </w:rPr>
        <w:t>Idalov</w:t>
      </w:r>
      <w:proofErr w:type="spellEnd"/>
      <w:r>
        <w:rPr>
          <w:rFonts w:eastAsiaTheme="minorHAnsi"/>
          <w:i/>
          <w:lang w:val="fr-FR"/>
        </w:rPr>
        <w:t xml:space="preserve"> c. Russie </w:t>
      </w:r>
      <w:r w:rsidRPr="00CC6E67">
        <w:rPr>
          <w:lang w:val="fr-FR"/>
        </w:rPr>
        <w:t>[GC]</w:t>
      </w:r>
      <w:r w:rsidRPr="00174C28">
        <w:rPr>
          <w:rFonts w:eastAsiaTheme="minorHAnsi"/>
          <w:lang w:val="fr-FR"/>
        </w:rPr>
        <w:t xml:space="preserve">, </w:t>
      </w:r>
      <w:r>
        <w:rPr>
          <w:rFonts w:eastAsiaTheme="minorHAnsi"/>
          <w:lang w:val="fr-FR"/>
        </w:rPr>
        <w:t>n</w:t>
      </w:r>
      <w:r w:rsidRPr="00216465">
        <w:rPr>
          <w:rFonts w:eastAsiaTheme="minorHAnsi"/>
          <w:vertAlign w:val="superscript"/>
          <w:lang w:val="fr-FR"/>
        </w:rPr>
        <w:t>o</w:t>
      </w:r>
      <w:r>
        <w:rPr>
          <w:rFonts w:eastAsiaTheme="minorHAnsi"/>
          <w:lang w:val="fr-FR"/>
        </w:rPr>
        <w:t xml:space="preserve"> 5826/03, § 95, 22 mai 2012).</w:t>
      </w:r>
    </w:p>
    <w:p w:rsidR="006F453D" w:rsidRPr="005254D1" w:rsidRDefault="006F453D" w:rsidP="00BA19BF">
      <w:pPr>
        <w:pStyle w:val="ECHRPara"/>
        <w:rPr>
          <w:rFonts w:eastAsiaTheme="minorHAnsi"/>
          <w:lang w:val="fr-FR"/>
        </w:rPr>
      </w:pPr>
      <w:r>
        <w:rPr>
          <w:rFonts w:eastAsiaTheme="minorHAnsi"/>
          <w:lang w:val="fr-FR"/>
        </w:rPr>
        <w:t>25.  </w:t>
      </w:r>
      <w:r w:rsidRPr="00174C28">
        <w:rPr>
          <w:rFonts w:eastAsiaTheme="minorHAnsi"/>
          <w:lang w:val="fr-FR"/>
        </w:rPr>
        <w:t>Pour qu</w:t>
      </w:r>
      <w:r w:rsidR="00F21895">
        <w:rPr>
          <w:rFonts w:eastAsiaTheme="minorHAnsi"/>
          <w:lang w:val="fr-FR"/>
        </w:rPr>
        <w:t>’</w:t>
      </w:r>
      <w:r w:rsidRPr="00174C28">
        <w:rPr>
          <w:rFonts w:eastAsiaTheme="minorHAnsi"/>
          <w:lang w:val="fr-FR"/>
        </w:rPr>
        <w:t>une peine et le traitement dont elle s</w:t>
      </w:r>
      <w:r w:rsidR="00F21895">
        <w:rPr>
          <w:rFonts w:eastAsiaTheme="minorHAnsi"/>
          <w:lang w:val="fr-FR"/>
        </w:rPr>
        <w:t>’</w:t>
      </w:r>
      <w:r w:rsidRPr="00174C28">
        <w:rPr>
          <w:rFonts w:eastAsiaTheme="minorHAnsi"/>
          <w:lang w:val="fr-FR"/>
        </w:rPr>
        <w:t>accompagne puissent être qualifiés d</w:t>
      </w:r>
      <w:r w:rsidR="00F21895">
        <w:rPr>
          <w:rFonts w:eastAsiaTheme="minorHAnsi"/>
          <w:lang w:val="fr-FR"/>
        </w:rPr>
        <w:t>’</w:t>
      </w:r>
      <w:r w:rsidRPr="00174C28">
        <w:rPr>
          <w:rFonts w:eastAsiaTheme="minorHAnsi"/>
          <w:lang w:val="fr-FR"/>
        </w:rPr>
        <w:t>« inhumains » ou de « dégradants », la souffrance ou l</w:t>
      </w:r>
      <w:r w:rsidR="00F21895">
        <w:rPr>
          <w:rFonts w:eastAsiaTheme="minorHAnsi"/>
          <w:lang w:val="fr-FR"/>
        </w:rPr>
        <w:t>’</w:t>
      </w:r>
      <w:r w:rsidRPr="00174C28">
        <w:rPr>
          <w:rFonts w:eastAsiaTheme="minorHAnsi"/>
          <w:lang w:val="fr-FR"/>
        </w:rPr>
        <w:t>humiliation doivent en tout cas aller au-delà de celles que comporte inévitablement une forme donnée de traitement ou de peine légitimes (</w:t>
      </w:r>
      <w:proofErr w:type="spellStart"/>
      <w:r w:rsidRPr="00CC6E67">
        <w:rPr>
          <w:i/>
          <w:lang w:val="fr-FR"/>
        </w:rPr>
        <w:t>Jalloh</w:t>
      </w:r>
      <w:proofErr w:type="spellEnd"/>
      <w:r w:rsidRPr="00CC6E67">
        <w:rPr>
          <w:i/>
          <w:lang w:val="fr-FR"/>
        </w:rPr>
        <w:t xml:space="preserve"> c. Allemagne</w:t>
      </w:r>
      <w:r w:rsidRPr="00CC6E67">
        <w:rPr>
          <w:lang w:val="fr-FR"/>
        </w:rPr>
        <w:t xml:space="preserve"> [GC]</w:t>
      </w:r>
      <w:r w:rsidRPr="00174C28">
        <w:rPr>
          <w:rFonts w:eastAsiaTheme="minorHAnsi"/>
          <w:lang w:val="fr-FR"/>
        </w:rPr>
        <w:t>, n</w:t>
      </w:r>
      <w:r w:rsidRPr="00644409">
        <w:rPr>
          <w:rFonts w:eastAsiaTheme="minorHAnsi"/>
          <w:vertAlign w:val="superscript"/>
          <w:lang w:val="fr-FR"/>
        </w:rPr>
        <w:t>o</w:t>
      </w:r>
      <w:r w:rsidRPr="00174C28">
        <w:rPr>
          <w:rFonts w:eastAsiaTheme="minorHAnsi"/>
          <w:lang w:val="fr-FR"/>
        </w:rPr>
        <w:t>  54810/00, § 68, CEDH 2006-IX</w:t>
      </w:r>
      <w:r>
        <w:rPr>
          <w:rFonts w:eastAsiaTheme="minorHAnsi"/>
          <w:lang w:val="fr-FR"/>
        </w:rPr>
        <w:t xml:space="preserve"> ; </w:t>
      </w:r>
      <w:proofErr w:type="spellStart"/>
      <w:r>
        <w:rPr>
          <w:rFonts w:eastAsiaTheme="minorHAnsi"/>
          <w:i/>
          <w:lang w:val="fr-FR"/>
        </w:rPr>
        <w:t>Enea</w:t>
      </w:r>
      <w:proofErr w:type="spellEnd"/>
      <w:r>
        <w:rPr>
          <w:rFonts w:eastAsiaTheme="minorHAnsi"/>
          <w:i/>
          <w:lang w:val="fr-FR"/>
        </w:rPr>
        <w:t xml:space="preserve"> c. Italie </w:t>
      </w:r>
      <w:r w:rsidRPr="00CC6E67">
        <w:rPr>
          <w:lang w:val="fr-FR"/>
        </w:rPr>
        <w:t>[GC]</w:t>
      </w:r>
      <w:r w:rsidRPr="00174C28">
        <w:rPr>
          <w:rFonts w:eastAsiaTheme="minorHAnsi"/>
          <w:lang w:val="fr-FR"/>
        </w:rPr>
        <w:t>,</w:t>
      </w:r>
      <w:r>
        <w:rPr>
          <w:rFonts w:eastAsiaTheme="minorHAnsi"/>
          <w:lang w:val="fr-FR"/>
        </w:rPr>
        <w:t xml:space="preserve"> n</w:t>
      </w:r>
      <w:r w:rsidRPr="00216465">
        <w:rPr>
          <w:rFonts w:eastAsiaTheme="minorHAnsi"/>
          <w:vertAlign w:val="superscript"/>
          <w:lang w:val="fr-FR"/>
        </w:rPr>
        <w:t>o</w:t>
      </w:r>
      <w:r>
        <w:rPr>
          <w:rFonts w:eastAsiaTheme="minorHAnsi"/>
          <w:lang w:val="fr-FR"/>
        </w:rPr>
        <w:t xml:space="preserve">74912/01, 17 septembre 2009, </w:t>
      </w:r>
      <w:r w:rsidRPr="00174C28">
        <w:rPr>
          <w:rFonts w:eastAsiaTheme="minorHAnsi"/>
          <w:lang w:val="fr-FR"/>
        </w:rPr>
        <w:t>§ </w:t>
      </w:r>
      <w:r>
        <w:rPr>
          <w:rFonts w:eastAsiaTheme="minorHAnsi"/>
          <w:lang w:val="fr-FR"/>
        </w:rPr>
        <w:t>5</w:t>
      </w:r>
      <w:r w:rsidRPr="00174C28">
        <w:rPr>
          <w:rFonts w:eastAsiaTheme="minorHAnsi"/>
          <w:lang w:val="fr-FR"/>
        </w:rPr>
        <w:t>6</w:t>
      </w:r>
      <w:r>
        <w:rPr>
          <w:rFonts w:eastAsiaTheme="minorHAnsi"/>
          <w:lang w:val="fr-FR"/>
        </w:rPr>
        <w:t xml:space="preserve"> ; </w:t>
      </w:r>
      <w:proofErr w:type="spellStart"/>
      <w:r>
        <w:rPr>
          <w:rFonts w:eastAsiaTheme="minorHAnsi"/>
          <w:i/>
          <w:lang w:val="fr-FR"/>
        </w:rPr>
        <w:t>Piechowicz</w:t>
      </w:r>
      <w:proofErr w:type="spellEnd"/>
      <w:r>
        <w:rPr>
          <w:rFonts w:eastAsiaTheme="minorHAnsi"/>
          <w:i/>
          <w:lang w:val="fr-FR"/>
        </w:rPr>
        <w:t> c. Pologne</w:t>
      </w:r>
      <w:r>
        <w:rPr>
          <w:rFonts w:eastAsiaTheme="minorHAnsi"/>
          <w:lang w:val="fr-FR"/>
        </w:rPr>
        <w:t>, n</w:t>
      </w:r>
      <w:r w:rsidRPr="00216465">
        <w:rPr>
          <w:rFonts w:eastAsiaTheme="minorHAnsi"/>
          <w:vertAlign w:val="superscript"/>
          <w:lang w:val="fr-FR"/>
        </w:rPr>
        <w:t>o</w:t>
      </w:r>
      <w:r>
        <w:rPr>
          <w:rFonts w:eastAsiaTheme="minorHAnsi"/>
          <w:lang w:val="fr-FR"/>
        </w:rPr>
        <w:t xml:space="preserve"> 20071/07, 17 avril 2012, </w:t>
      </w:r>
      <w:r w:rsidRPr="00174C28">
        <w:rPr>
          <w:rFonts w:eastAsiaTheme="minorHAnsi"/>
          <w:lang w:val="fr-FR"/>
        </w:rPr>
        <w:t>§ </w:t>
      </w:r>
      <w:r>
        <w:rPr>
          <w:rFonts w:eastAsiaTheme="minorHAnsi"/>
          <w:lang w:val="fr-FR"/>
        </w:rPr>
        <w:t xml:space="preserve">159 ; </w:t>
      </w:r>
      <w:proofErr w:type="spellStart"/>
      <w:r>
        <w:rPr>
          <w:rFonts w:eastAsiaTheme="minorHAnsi"/>
          <w:i/>
          <w:lang w:val="fr-FR"/>
        </w:rPr>
        <w:t>Horych</w:t>
      </w:r>
      <w:proofErr w:type="spellEnd"/>
      <w:r>
        <w:rPr>
          <w:rFonts w:eastAsiaTheme="minorHAnsi"/>
          <w:i/>
          <w:lang w:val="fr-FR"/>
        </w:rPr>
        <w:t> c. Pologne</w:t>
      </w:r>
      <w:r>
        <w:rPr>
          <w:rFonts w:eastAsiaTheme="minorHAnsi"/>
          <w:lang w:val="fr-FR"/>
        </w:rPr>
        <w:t>, n</w:t>
      </w:r>
      <w:r w:rsidRPr="00216465">
        <w:rPr>
          <w:rFonts w:eastAsiaTheme="minorHAnsi"/>
          <w:vertAlign w:val="superscript"/>
          <w:lang w:val="fr-FR"/>
        </w:rPr>
        <w:t>o</w:t>
      </w:r>
      <w:r>
        <w:rPr>
          <w:rFonts w:eastAsiaTheme="minorHAnsi"/>
          <w:lang w:val="fr-FR"/>
        </w:rPr>
        <w:t xml:space="preserve"> 13621/08, 17 avril 2012, § </w:t>
      </w:r>
      <w:r w:rsidRPr="00174C28">
        <w:rPr>
          <w:rFonts w:eastAsiaTheme="minorHAnsi"/>
          <w:lang w:val="fr-FR"/>
        </w:rPr>
        <w:t>8</w:t>
      </w:r>
      <w:r>
        <w:rPr>
          <w:rFonts w:eastAsiaTheme="minorHAnsi"/>
          <w:lang w:val="fr-FR"/>
        </w:rPr>
        <w:t>6).</w:t>
      </w:r>
    </w:p>
    <w:p w:rsidR="006F453D" w:rsidRPr="00201944" w:rsidRDefault="008626FD" w:rsidP="00BA19BF">
      <w:pPr>
        <w:pStyle w:val="ECHRHeading3"/>
        <w:rPr>
          <w:lang w:val="fr-FR"/>
        </w:rPr>
      </w:pPr>
      <w:r>
        <w:rPr>
          <w:lang w:val="fr-FR"/>
        </w:rPr>
        <w:t>1.  </w:t>
      </w:r>
      <w:r w:rsidR="006F453D" w:rsidRPr="00201944">
        <w:rPr>
          <w:lang w:val="fr-FR"/>
        </w:rPr>
        <w:t>L</w:t>
      </w:r>
      <w:r w:rsidR="00F21895">
        <w:rPr>
          <w:lang w:val="fr-FR"/>
        </w:rPr>
        <w:t>’</w:t>
      </w:r>
      <w:r w:rsidR="006F453D" w:rsidRPr="00201944">
        <w:rPr>
          <w:lang w:val="fr-FR"/>
        </w:rPr>
        <w:t>application prolongée du régime spécial de détention</w:t>
      </w:r>
    </w:p>
    <w:p w:rsidR="006F453D" w:rsidRDefault="006F453D" w:rsidP="00BA19BF">
      <w:pPr>
        <w:pStyle w:val="ECHRPara"/>
        <w:ind w:firstLine="426"/>
        <w:rPr>
          <w:rFonts w:eastAsiaTheme="minorHAnsi"/>
          <w:lang w:val="fr-FR"/>
        </w:rPr>
      </w:pPr>
      <w:r>
        <w:rPr>
          <w:rFonts w:eastAsiaTheme="minorHAnsi"/>
          <w:lang w:val="fr-FR"/>
        </w:rPr>
        <w:t>26.  </w:t>
      </w:r>
      <w:r w:rsidRPr="00201944">
        <w:rPr>
          <w:rFonts w:eastAsiaTheme="minorHAnsi"/>
          <w:lang w:val="fr-FR"/>
        </w:rPr>
        <w:t>La Cour doit rechercher d</w:t>
      </w:r>
      <w:r w:rsidR="00F21895">
        <w:rPr>
          <w:rFonts w:eastAsiaTheme="minorHAnsi"/>
          <w:lang w:val="fr-FR"/>
        </w:rPr>
        <w:t>’</w:t>
      </w:r>
      <w:r w:rsidRPr="00201944">
        <w:rPr>
          <w:rFonts w:eastAsiaTheme="minorHAnsi"/>
          <w:lang w:val="fr-FR"/>
        </w:rPr>
        <w:t>abord si l</w:t>
      </w:r>
      <w:r w:rsidR="00F21895">
        <w:rPr>
          <w:rFonts w:eastAsiaTheme="minorHAnsi"/>
          <w:lang w:val="fr-FR"/>
        </w:rPr>
        <w:t>’</w:t>
      </w:r>
      <w:r w:rsidRPr="00201944">
        <w:rPr>
          <w:rFonts w:eastAsiaTheme="minorHAnsi"/>
          <w:lang w:val="fr-FR"/>
        </w:rPr>
        <w:t>application prolongée du régime spécial de détention prévu par l</w:t>
      </w:r>
      <w:r w:rsidR="00F21895">
        <w:rPr>
          <w:rFonts w:eastAsiaTheme="minorHAnsi"/>
          <w:lang w:val="fr-FR"/>
        </w:rPr>
        <w:t>’</w:t>
      </w:r>
      <w:r w:rsidRPr="00201944">
        <w:rPr>
          <w:rFonts w:eastAsiaTheme="minorHAnsi"/>
          <w:lang w:val="fr-FR"/>
        </w:rPr>
        <w:t>article 41</w:t>
      </w:r>
      <w:r w:rsidRPr="00C96F2F">
        <w:rPr>
          <w:rFonts w:eastAsiaTheme="minorHAnsi"/>
          <w:i/>
          <w:lang w:val="fr-FR"/>
        </w:rPr>
        <w:t>bis</w:t>
      </w:r>
      <w:r w:rsidRPr="00201944">
        <w:rPr>
          <w:rFonts w:eastAsiaTheme="minorHAnsi"/>
          <w:lang w:val="fr-FR"/>
        </w:rPr>
        <w:t xml:space="preserve"> – qui, par ailleurs, après la réforme de 2002, est devenue une disposition permanente de la loi sur l</w:t>
      </w:r>
      <w:r w:rsidR="00F21895">
        <w:rPr>
          <w:rFonts w:eastAsiaTheme="minorHAnsi"/>
          <w:lang w:val="fr-FR"/>
        </w:rPr>
        <w:t>’</w:t>
      </w:r>
      <w:r w:rsidRPr="00201944">
        <w:rPr>
          <w:rFonts w:eastAsiaTheme="minorHAnsi"/>
          <w:lang w:val="fr-FR"/>
        </w:rPr>
        <w:t>administration pénitentiaire – constitue une violation de l</w:t>
      </w:r>
      <w:r w:rsidR="00F21895">
        <w:rPr>
          <w:rFonts w:eastAsiaTheme="minorHAnsi"/>
          <w:lang w:val="fr-FR"/>
        </w:rPr>
        <w:t>’</w:t>
      </w:r>
      <w:r w:rsidRPr="00201944">
        <w:rPr>
          <w:rFonts w:eastAsiaTheme="minorHAnsi"/>
          <w:lang w:val="fr-FR"/>
        </w:rPr>
        <w:t>article 3 de la Convention. Pour ce faire, elle doit cependant faire abstraction de la nature de l</w:t>
      </w:r>
      <w:r w:rsidR="00F21895">
        <w:rPr>
          <w:rFonts w:eastAsiaTheme="minorHAnsi"/>
          <w:lang w:val="fr-FR"/>
        </w:rPr>
        <w:t>’</w:t>
      </w:r>
      <w:r w:rsidRPr="00201944">
        <w:rPr>
          <w:rFonts w:eastAsiaTheme="minorHAnsi"/>
          <w:lang w:val="fr-FR"/>
        </w:rPr>
        <w:t>infraction reprochée au requérant, car la « prohibition de la torture ou des peines ou traitements inhumains ou dégradants est absolue, quels que soient les agissements de la victime » (</w:t>
      </w:r>
      <w:proofErr w:type="spellStart"/>
      <w:r w:rsidRPr="00B53D1B">
        <w:rPr>
          <w:rFonts w:eastAsiaTheme="minorHAnsi"/>
          <w:i/>
          <w:lang w:val="fr-FR"/>
        </w:rPr>
        <w:t>Labita</w:t>
      </w:r>
      <w:proofErr w:type="spellEnd"/>
      <w:r w:rsidRPr="00B53D1B">
        <w:rPr>
          <w:rFonts w:eastAsiaTheme="minorHAnsi"/>
          <w:i/>
          <w:lang w:val="fr-FR"/>
        </w:rPr>
        <w:t xml:space="preserve"> c. Italie</w:t>
      </w:r>
      <w:r w:rsidRPr="00201944">
        <w:rPr>
          <w:rFonts w:eastAsiaTheme="minorHAnsi"/>
          <w:lang w:val="fr-FR"/>
        </w:rPr>
        <w:t xml:space="preserve"> [GC], n</w:t>
      </w:r>
      <w:r w:rsidRPr="00644409">
        <w:rPr>
          <w:rFonts w:eastAsiaTheme="minorHAnsi"/>
          <w:vertAlign w:val="superscript"/>
          <w:lang w:val="fr-FR"/>
        </w:rPr>
        <w:t>o</w:t>
      </w:r>
      <w:r w:rsidRPr="00201944">
        <w:rPr>
          <w:rFonts w:eastAsiaTheme="minorHAnsi"/>
          <w:lang w:val="fr-FR"/>
        </w:rPr>
        <w:t xml:space="preserve"> 26772/95, §</w:t>
      </w:r>
      <w:r w:rsidR="00F21895">
        <w:rPr>
          <w:rFonts w:eastAsiaTheme="minorHAnsi"/>
          <w:lang w:val="fr-FR"/>
        </w:rPr>
        <w:t> </w:t>
      </w:r>
      <w:r w:rsidRPr="00201944">
        <w:rPr>
          <w:rFonts w:eastAsiaTheme="minorHAnsi"/>
          <w:lang w:val="fr-FR"/>
        </w:rPr>
        <w:t>119, CEDH 2000</w:t>
      </w:r>
      <w:r w:rsidRPr="00201944">
        <w:rPr>
          <w:rFonts w:eastAsiaTheme="minorHAnsi"/>
          <w:lang w:val="fr-FR"/>
        </w:rPr>
        <w:noBreakHyphen/>
        <w:t>IV</w:t>
      </w:r>
      <w:r>
        <w:rPr>
          <w:rFonts w:eastAsiaTheme="minorHAnsi"/>
          <w:lang w:val="fr-FR"/>
        </w:rPr>
        <w:t xml:space="preserve"> ; </w:t>
      </w:r>
      <w:proofErr w:type="spellStart"/>
      <w:r w:rsidRPr="00B53D1B">
        <w:rPr>
          <w:rFonts w:eastAsiaTheme="minorHAnsi"/>
          <w:i/>
          <w:lang w:val="fr-FR"/>
        </w:rPr>
        <w:t>Gallico</w:t>
      </w:r>
      <w:proofErr w:type="spellEnd"/>
      <w:r w:rsidRPr="00B53D1B">
        <w:rPr>
          <w:rFonts w:eastAsiaTheme="minorHAnsi"/>
          <w:i/>
          <w:lang w:val="fr-FR"/>
        </w:rPr>
        <w:t xml:space="preserve"> c. Italie</w:t>
      </w:r>
      <w:r>
        <w:rPr>
          <w:rFonts w:eastAsiaTheme="minorHAnsi"/>
          <w:lang w:val="fr-FR"/>
        </w:rPr>
        <w:t>, n</w:t>
      </w:r>
      <w:r w:rsidRPr="00644409">
        <w:rPr>
          <w:rFonts w:eastAsiaTheme="minorHAnsi"/>
          <w:vertAlign w:val="superscript"/>
          <w:lang w:val="fr-FR"/>
        </w:rPr>
        <w:t>o</w:t>
      </w:r>
      <w:r>
        <w:rPr>
          <w:rFonts w:eastAsiaTheme="minorHAnsi"/>
          <w:lang w:val="fr-FR"/>
        </w:rPr>
        <w:t> 53723/00, 28 juin 2005</w:t>
      </w:r>
      <w:r w:rsidRPr="00201944">
        <w:rPr>
          <w:rFonts w:eastAsiaTheme="minorHAnsi"/>
          <w:lang w:val="fr-FR"/>
        </w:rPr>
        <w:t>).</w:t>
      </w:r>
    </w:p>
    <w:p w:rsidR="006F453D" w:rsidRPr="002B16A6" w:rsidRDefault="006F453D" w:rsidP="00BA19BF">
      <w:pPr>
        <w:pStyle w:val="ECHRPara"/>
        <w:ind w:firstLine="426"/>
        <w:rPr>
          <w:rFonts w:eastAsiaTheme="minorHAnsi"/>
          <w:lang w:val="fr-FR"/>
        </w:rPr>
      </w:pPr>
      <w:r>
        <w:rPr>
          <w:rFonts w:eastAsiaTheme="minorHAnsi"/>
          <w:lang w:val="fr-FR"/>
        </w:rPr>
        <w:t>27.  </w:t>
      </w:r>
      <w:r w:rsidRPr="002B16A6">
        <w:rPr>
          <w:rFonts w:eastAsiaTheme="minorHAnsi"/>
          <w:lang w:val="fr-FR"/>
        </w:rPr>
        <w:t>La Cour admet qu</w:t>
      </w:r>
      <w:r w:rsidR="00F21895">
        <w:rPr>
          <w:rFonts w:eastAsiaTheme="minorHAnsi"/>
          <w:lang w:val="fr-FR"/>
        </w:rPr>
        <w:t>’</w:t>
      </w:r>
      <w:r w:rsidRPr="002B16A6">
        <w:rPr>
          <w:rFonts w:eastAsiaTheme="minorHAnsi"/>
          <w:lang w:val="fr-FR"/>
        </w:rPr>
        <w:t>en général l</w:t>
      </w:r>
      <w:r w:rsidR="00F21895">
        <w:rPr>
          <w:rFonts w:eastAsiaTheme="minorHAnsi"/>
          <w:lang w:val="fr-FR"/>
        </w:rPr>
        <w:t>’</w:t>
      </w:r>
      <w:r w:rsidRPr="002B16A6">
        <w:rPr>
          <w:rFonts w:eastAsiaTheme="minorHAnsi"/>
          <w:lang w:val="fr-FR"/>
        </w:rPr>
        <w:t>application prolongée de certaines restrictions peut placer un détenu dans une situation qui pourrait constituer un traitement inhumain ou dégradant, au sens de l</w:t>
      </w:r>
      <w:r w:rsidR="00F21895">
        <w:rPr>
          <w:rFonts w:eastAsiaTheme="minorHAnsi"/>
          <w:lang w:val="fr-FR"/>
        </w:rPr>
        <w:t>’</w:t>
      </w:r>
      <w:r w:rsidRPr="002B16A6">
        <w:rPr>
          <w:rFonts w:eastAsiaTheme="minorHAnsi"/>
          <w:lang w:val="fr-FR"/>
        </w:rPr>
        <w:t xml:space="preserve">article 3 de la Convention. Cependant, elle ne saurait retenir une durée précise comme le moment à partir duquel est atteint </w:t>
      </w:r>
      <w:r>
        <w:rPr>
          <w:rFonts w:eastAsiaTheme="minorHAnsi"/>
          <w:lang w:val="fr-FR"/>
        </w:rPr>
        <w:t>c</w:t>
      </w:r>
      <w:r w:rsidRPr="002B16A6">
        <w:rPr>
          <w:rFonts w:eastAsiaTheme="minorHAnsi"/>
          <w:lang w:val="fr-FR"/>
        </w:rPr>
        <w:t>e seuil minimum</w:t>
      </w:r>
      <w:r>
        <w:rPr>
          <w:rFonts w:eastAsiaTheme="minorHAnsi"/>
          <w:lang w:val="fr-FR"/>
        </w:rPr>
        <w:t>.</w:t>
      </w:r>
      <w:r w:rsidRPr="002B16A6">
        <w:rPr>
          <w:rFonts w:eastAsiaTheme="minorHAnsi"/>
          <w:lang w:val="fr-FR"/>
        </w:rPr>
        <w:t xml:space="preserve"> En revanche, elle se doit de contrôler si, dans un cas donné, le renouvellement et la prolongation des restrictions se justifiaient ou si, au contraire, elles constituaient la </w:t>
      </w:r>
      <w:r w:rsidRPr="002B16A6">
        <w:rPr>
          <w:rFonts w:eastAsiaTheme="minorHAnsi"/>
          <w:lang w:val="fr-FR"/>
        </w:rPr>
        <w:lastRenderedPageBreak/>
        <w:t>réitération de limitations ne se justifiant plus (</w:t>
      </w:r>
      <w:proofErr w:type="spellStart"/>
      <w:r w:rsidRPr="000D41E2">
        <w:rPr>
          <w:rFonts w:eastAsiaTheme="minorHAnsi"/>
          <w:i/>
          <w:lang w:val="fr-FR"/>
        </w:rPr>
        <w:t>Argenti</w:t>
      </w:r>
      <w:proofErr w:type="spellEnd"/>
      <w:r w:rsidRPr="000D41E2">
        <w:rPr>
          <w:rFonts w:eastAsiaTheme="minorHAnsi"/>
          <w:i/>
          <w:lang w:val="fr-FR"/>
        </w:rPr>
        <w:t xml:space="preserve"> c. Italie</w:t>
      </w:r>
      <w:r w:rsidRPr="002B16A6">
        <w:rPr>
          <w:rFonts w:eastAsiaTheme="minorHAnsi"/>
          <w:lang w:val="fr-FR"/>
        </w:rPr>
        <w:t>, n</w:t>
      </w:r>
      <w:r w:rsidRPr="00644409">
        <w:rPr>
          <w:rFonts w:eastAsiaTheme="minorHAnsi"/>
          <w:vertAlign w:val="superscript"/>
          <w:lang w:val="fr-FR"/>
        </w:rPr>
        <w:t>o</w:t>
      </w:r>
      <w:r>
        <w:rPr>
          <w:rFonts w:eastAsiaTheme="minorHAnsi"/>
          <w:lang w:val="fr-FR"/>
        </w:rPr>
        <w:t> </w:t>
      </w:r>
      <w:r w:rsidRPr="002B16A6">
        <w:rPr>
          <w:rFonts w:eastAsiaTheme="minorHAnsi"/>
          <w:lang w:val="fr-FR"/>
        </w:rPr>
        <w:t>56317/00, § 21, 10 novembre 2005).</w:t>
      </w:r>
    </w:p>
    <w:p w:rsidR="006F453D" w:rsidRPr="002B16A6" w:rsidRDefault="006F453D" w:rsidP="00BA19BF">
      <w:pPr>
        <w:pStyle w:val="ECHRPara"/>
        <w:ind w:firstLine="426"/>
        <w:rPr>
          <w:rFonts w:eastAsiaTheme="minorHAnsi"/>
          <w:lang w:val="fr-FR"/>
        </w:rPr>
      </w:pPr>
      <w:r>
        <w:rPr>
          <w:rFonts w:eastAsiaTheme="minorHAnsi"/>
          <w:lang w:val="fr-FR"/>
        </w:rPr>
        <w:t>28.  En l</w:t>
      </w:r>
      <w:r w:rsidR="00F21895">
        <w:rPr>
          <w:rFonts w:eastAsiaTheme="minorHAnsi"/>
          <w:lang w:val="fr-FR"/>
        </w:rPr>
        <w:t>’</w:t>
      </w:r>
      <w:r>
        <w:rPr>
          <w:rFonts w:eastAsiaTheme="minorHAnsi"/>
          <w:lang w:val="fr-FR"/>
        </w:rPr>
        <w:t>occurrence,</w:t>
      </w:r>
      <w:r w:rsidRPr="002B16A6">
        <w:rPr>
          <w:rFonts w:eastAsiaTheme="minorHAnsi"/>
          <w:lang w:val="fr-FR"/>
        </w:rPr>
        <w:t xml:space="preserve"> le Ministre de la Justice s</w:t>
      </w:r>
      <w:r w:rsidR="00F21895">
        <w:rPr>
          <w:rFonts w:eastAsiaTheme="minorHAnsi"/>
          <w:lang w:val="fr-FR"/>
        </w:rPr>
        <w:t>’</w:t>
      </w:r>
      <w:r w:rsidRPr="002B16A6">
        <w:rPr>
          <w:rFonts w:eastAsiaTheme="minorHAnsi"/>
          <w:lang w:val="fr-FR"/>
        </w:rPr>
        <w:t>est</w:t>
      </w:r>
      <w:r>
        <w:rPr>
          <w:rFonts w:eastAsiaTheme="minorHAnsi"/>
          <w:lang w:val="fr-FR"/>
        </w:rPr>
        <w:t xml:space="preserve"> toujours</w:t>
      </w:r>
      <w:r w:rsidRPr="002B16A6">
        <w:rPr>
          <w:rFonts w:eastAsiaTheme="minorHAnsi"/>
          <w:lang w:val="fr-FR"/>
        </w:rPr>
        <w:t xml:space="preserve"> référé, pour justifier la prorogation des restrictions</w:t>
      </w:r>
      <w:r>
        <w:rPr>
          <w:rFonts w:eastAsiaTheme="minorHAnsi"/>
          <w:lang w:val="fr-FR"/>
        </w:rPr>
        <w:t>,</w:t>
      </w:r>
      <w:r w:rsidRPr="002B16A6">
        <w:rPr>
          <w:rFonts w:eastAsiaTheme="minorHAnsi"/>
          <w:lang w:val="fr-FR"/>
        </w:rPr>
        <w:t xml:space="preserve"> à la persistance des conditions qui </w:t>
      </w:r>
      <w:r>
        <w:rPr>
          <w:rFonts w:eastAsiaTheme="minorHAnsi"/>
          <w:lang w:val="fr-FR"/>
        </w:rPr>
        <w:t xml:space="preserve">avaient motivé </w:t>
      </w:r>
      <w:r w:rsidRPr="002B16A6">
        <w:rPr>
          <w:rFonts w:eastAsiaTheme="minorHAnsi"/>
          <w:lang w:val="fr-FR"/>
        </w:rPr>
        <w:t>la première application et les tribunaux de l</w:t>
      </w:r>
      <w:r w:rsidR="00F21895">
        <w:rPr>
          <w:rFonts w:eastAsiaTheme="minorHAnsi"/>
          <w:lang w:val="fr-FR"/>
        </w:rPr>
        <w:t>’</w:t>
      </w:r>
      <w:r w:rsidRPr="002B16A6">
        <w:rPr>
          <w:rFonts w:eastAsiaTheme="minorHAnsi"/>
          <w:lang w:val="fr-FR"/>
        </w:rPr>
        <w:t>application des peines ont contrôlé l</w:t>
      </w:r>
      <w:r>
        <w:rPr>
          <w:rFonts w:eastAsiaTheme="minorHAnsi"/>
          <w:lang w:val="fr-FR"/>
        </w:rPr>
        <w:t>e</w:t>
      </w:r>
      <w:r w:rsidRPr="002B16A6">
        <w:rPr>
          <w:rFonts w:eastAsiaTheme="minorHAnsi"/>
          <w:lang w:val="fr-FR"/>
        </w:rPr>
        <w:t xml:space="preserve"> </w:t>
      </w:r>
      <w:r>
        <w:rPr>
          <w:rFonts w:eastAsiaTheme="minorHAnsi"/>
          <w:lang w:val="fr-FR"/>
        </w:rPr>
        <w:t>bien-fondé</w:t>
      </w:r>
      <w:r w:rsidRPr="002B16A6">
        <w:rPr>
          <w:rFonts w:eastAsiaTheme="minorHAnsi"/>
          <w:lang w:val="fr-FR"/>
        </w:rPr>
        <w:t xml:space="preserve"> de ces constatations.</w:t>
      </w:r>
    </w:p>
    <w:p w:rsidR="006F453D" w:rsidRPr="00CC6E67" w:rsidRDefault="006F453D" w:rsidP="00BA19BF">
      <w:pPr>
        <w:pStyle w:val="ECHRPara"/>
        <w:ind w:firstLine="426"/>
        <w:rPr>
          <w:rFonts w:eastAsiaTheme="minorHAnsi"/>
          <w:lang w:val="fr-FR"/>
        </w:rPr>
      </w:pPr>
      <w:r>
        <w:rPr>
          <w:rFonts w:eastAsiaTheme="minorHAnsi"/>
          <w:lang w:val="fr-FR"/>
        </w:rPr>
        <w:t>29.  </w:t>
      </w:r>
      <w:r w:rsidRPr="00CC6E67">
        <w:rPr>
          <w:rFonts w:eastAsiaTheme="minorHAnsi"/>
          <w:lang w:val="fr-FR"/>
        </w:rPr>
        <w:t>De plus, la Cour note que le requérant ne lui a pas fourni d</w:t>
      </w:r>
      <w:r w:rsidR="00F21895">
        <w:rPr>
          <w:rFonts w:eastAsiaTheme="minorHAnsi"/>
          <w:lang w:val="fr-FR"/>
        </w:rPr>
        <w:t>’</w:t>
      </w:r>
      <w:r w:rsidRPr="00CC6E67">
        <w:rPr>
          <w:rFonts w:eastAsiaTheme="minorHAnsi"/>
          <w:lang w:val="fr-FR"/>
        </w:rPr>
        <w:t>éléments qui lui permettraient de conclure que l</w:t>
      </w:r>
      <w:r w:rsidR="00F21895">
        <w:rPr>
          <w:rFonts w:eastAsiaTheme="minorHAnsi"/>
          <w:lang w:val="fr-FR"/>
        </w:rPr>
        <w:t>’</w:t>
      </w:r>
      <w:r w:rsidRPr="00CC6E67">
        <w:rPr>
          <w:rFonts w:eastAsiaTheme="minorHAnsi"/>
          <w:lang w:val="fr-FR"/>
        </w:rPr>
        <w:t xml:space="preserve">application prolongée du régime spécial de détention </w:t>
      </w:r>
      <w:r>
        <w:rPr>
          <w:rFonts w:eastAsiaTheme="minorHAnsi"/>
          <w:lang w:val="fr-FR"/>
        </w:rPr>
        <w:t>lui a</w:t>
      </w:r>
      <w:r w:rsidRPr="00CC6E67">
        <w:rPr>
          <w:rFonts w:eastAsiaTheme="minorHAnsi"/>
          <w:lang w:val="fr-FR"/>
        </w:rPr>
        <w:t xml:space="preserve"> causé des effets physiques ou mentaux tombant sous le coup de l</w:t>
      </w:r>
      <w:r w:rsidR="00F21895">
        <w:rPr>
          <w:rFonts w:eastAsiaTheme="minorHAnsi"/>
          <w:lang w:val="fr-FR"/>
        </w:rPr>
        <w:t>’</w:t>
      </w:r>
      <w:r w:rsidRPr="00CC6E67">
        <w:rPr>
          <w:rFonts w:eastAsiaTheme="minorHAnsi"/>
          <w:lang w:val="fr-FR"/>
        </w:rPr>
        <w:t>article 3. Dès lors, la souffrance ou l</w:t>
      </w:r>
      <w:r w:rsidR="00F21895">
        <w:rPr>
          <w:rFonts w:eastAsiaTheme="minorHAnsi"/>
          <w:lang w:val="fr-FR"/>
        </w:rPr>
        <w:t>’</w:t>
      </w:r>
      <w:r w:rsidRPr="00CC6E67">
        <w:rPr>
          <w:rFonts w:eastAsiaTheme="minorHAnsi"/>
          <w:lang w:val="fr-FR"/>
        </w:rPr>
        <w:t>humiliation que le requérant a pu ressentir ne sont pas allés au-delà de celles que comporte inévitablement une forme donnée de traitement - en l</w:t>
      </w:r>
      <w:r w:rsidR="00F21895">
        <w:rPr>
          <w:rFonts w:eastAsiaTheme="minorHAnsi"/>
          <w:lang w:val="fr-FR"/>
        </w:rPr>
        <w:t>’</w:t>
      </w:r>
      <w:r w:rsidRPr="00CC6E67">
        <w:rPr>
          <w:rFonts w:eastAsiaTheme="minorHAnsi"/>
          <w:lang w:val="fr-FR"/>
        </w:rPr>
        <w:t>espèce prolongé - ou de peine légitime (</w:t>
      </w:r>
      <w:proofErr w:type="spellStart"/>
      <w:r w:rsidRPr="00BA5696">
        <w:rPr>
          <w:rFonts w:eastAsiaTheme="minorHAnsi"/>
          <w:i/>
          <w:lang w:val="fr-FR"/>
        </w:rPr>
        <w:t>Labita</w:t>
      </w:r>
      <w:proofErr w:type="spellEnd"/>
      <w:r>
        <w:rPr>
          <w:rFonts w:eastAsiaTheme="minorHAnsi"/>
          <w:i/>
          <w:lang w:val="fr-FR"/>
        </w:rPr>
        <w:t xml:space="preserve"> c. Italie</w:t>
      </w:r>
      <w:r w:rsidRPr="00CC6E67">
        <w:rPr>
          <w:rFonts w:eastAsiaTheme="minorHAnsi"/>
          <w:lang w:val="fr-FR"/>
        </w:rPr>
        <w:t xml:space="preserve">, précité, § 120, et </w:t>
      </w:r>
      <w:proofErr w:type="spellStart"/>
      <w:r w:rsidRPr="00E354C5">
        <w:rPr>
          <w:rFonts w:eastAsiaTheme="minorHAnsi"/>
          <w:i/>
          <w:lang w:val="fr-FR"/>
        </w:rPr>
        <w:t>Bastone</w:t>
      </w:r>
      <w:proofErr w:type="spellEnd"/>
      <w:r>
        <w:rPr>
          <w:rFonts w:eastAsiaTheme="minorHAnsi"/>
          <w:i/>
          <w:lang w:val="fr-FR"/>
        </w:rPr>
        <w:t> </w:t>
      </w:r>
      <w:r w:rsidRPr="00E354C5">
        <w:rPr>
          <w:rFonts w:eastAsiaTheme="minorHAnsi"/>
          <w:i/>
          <w:lang w:val="fr-FR"/>
        </w:rPr>
        <w:t>c.</w:t>
      </w:r>
      <w:r>
        <w:rPr>
          <w:rFonts w:eastAsiaTheme="minorHAnsi"/>
          <w:i/>
          <w:lang w:val="fr-FR"/>
        </w:rPr>
        <w:t> </w:t>
      </w:r>
      <w:r w:rsidRPr="00E354C5">
        <w:rPr>
          <w:rFonts w:eastAsiaTheme="minorHAnsi"/>
          <w:i/>
          <w:lang w:val="fr-FR"/>
        </w:rPr>
        <w:t>Italie</w:t>
      </w:r>
      <w:r w:rsidRPr="00CC6E67">
        <w:rPr>
          <w:rFonts w:eastAsiaTheme="minorHAnsi"/>
          <w:lang w:val="fr-FR"/>
        </w:rPr>
        <w:t>, (</w:t>
      </w:r>
      <w:proofErr w:type="spellStart"/>
      <w:r w:rsidRPr="00CC6E67">
        <w:rPr>
          <w:rFonts w:eastAsiaTheme="minorHAnsi"/>
          <w:lang w:val="fr-FR"/>
        </w:rPr>
        <w:t>déc</w:t>
      </w:r>
      <w:proofErr w:type="spellEnd"/>
      <w:r w:rsidRPr="00CC6E67">
        <w:rPr>
          <w:rFonts w:eastAsiaTheme="minorHAnsi"/>
          <w:lang w:val="fr-FR"/>
        </w:rPr>
        <w:t>), n</w:t>
      </w:r>
      <w:r w:rsidRPr="00644409">
        <w:rPr>
          <w:rFonts w:eastAsiaTheme="minorHAnsi"/>
          <w:vertAlign w:val="superscript"/>
          <w:lang w:val="fr-FR"/>
        </w:rPr>
        <w:t>o</w:t>
      </w:r>
      <w:r>
        <w:rPr>
          <w:rFonts w:eastAsiaTheme="minorHAnsi"/>
          <w:lang w:val="fr-FR"/>
        </w:rPr>
        <w:t> </w:t>
      </w:r>
      <w:r w:rsidRPr="00CC6E67">
        <w:rPr>
          <w:rFonts w:eastAsiaTheme="minorHAnsi"/>
          <w:lang w:val="fr-FR"/>
        </w:rPr>
        <w:t>59638/00, 18 janvier 2005).</w:t>
      </w:r>
      <w:r>
        <w:rPr>
          <w:rFonts w:eastAsiaTheme="minorHAnsi"/>
          <w:lang w:val="fr-FR"/>
        </w:rPr>
        <w:t xml:space="preserve"> Il s</w:t>
      </w:r>
      <w:r w:rsidR="00F21895">
        <w:rPr>
          <w:rFonts w:eastAsiaTheme="minorHAnsi"/>
          <w:lang w:val="fr-FR"/>
        </w:rPr>
        <w:t>’</w:t>
      </w:r>
      <w:r>
        <w:rPr>
          <w:rFonts w:eastAsiaTheme="minorHAnsi"/>
          <w:lang w:val="fr-FR"/>
        </w:rPr>
        <w:t>ensuit que cette partie du grief est manifestement mal fondée et doit être rejetée en application de l</w:t>
      </w:r>
      <w:r w:rsidR="00F21895">
        <w:rPr>
          <w:rFonts w:eastAsiaTheme="minorHAnsi"/>
          <w:lang w:val="fr-FR"/>
        </w:rPr>
        <w:t>’</w:t>
      </w:r>
      <w:r>
        <w:rPr>
          <w:rFonts w:eastAsiaTheme="minorHAnsi"/>
          <w:lang w:val="fr-FR"/>
        </w:rPr>
        <w:t>article 35 §§ 3 a) et 4 de la Convention.</w:t>
      </w:r>
    </w:p>
    <w:p w:rsidR="006F453D" w:rsidRPr="00F91560" w:rsidRDefault="008626FD" w:rsidP="00BA19BF">
      <w:pPr>
        <w:pStyle w:val="ECHRHeading3"/>
        <w:rPr>
          <w:rFonts w:eastAsiaTheme="minorHAnsi"/>
          <w:lang w:val="fr-FR"/>
        </w:rPr>
      </w:pPr>
      <w:r>
        <w:rPr>
          <w:rFonts w:eastAsiaTheme="minorHAnsi"/>
          <w:lang w:val="fr-FR"/>
        </w:rPr>
        <w:t>2.  </w:t>
      </w:r>
      <w:r w:rsidR="006F453D" w:rsidRPr="00F91560">
        <w:rPr>
          <w:rFonts w:eastAsiaTheme="minorHAnsi"/>
          <w:lang w:val="fr-FR"/>
        </w:rPr>
        <w:t>Les fouilles corporelles et la vidéosurveillance de la cellule</w:t>
      </w:r>
    </w:p>
    <w:p w:rsidR="006F453D" w:rsidRPr="00F91560" w:rsidRDefault="006F453D" w:rsidP="00BA19BF">
      <w:pPr>
        <w:pStyle w:val="ECHRPara"/>
        <w:ind w:firstLine="426"/>
        <w:rPr>
          <w:rFonts w:eastAsiaTheme="minorHAnsi"/>
          <w:lang w:val="fr-FR"/>
        </w:rPr>
      </w:pPr>
      <w:r>
        <w:rPr>
          <w:rFonts w:eastAsiaTheme="minorHAnsi"/>
          <w:lang w:val="fr-FR"/>
        </w:rPr>
        <w:t>30.  En ce qui concerne l</w:t>
      </w:r>
      <w:r w:rsidRPr="00F91560">
        <w:rPr>
          <w:rFonts w:eastAsiaTheme="minorHAnsi"/>
          <w:lang w:val="fr-FR"/>
        </w:rPr>
        <w:t>a fouille corporelle des détenus, la Cour n</w:t>
      </w:r>
      <w:r w:rsidR="00F21895">
        <w:rPr>
          <w:rFonts w:eastAsiaTheme="minorHAnsi"/>
          <w:lang w:val="fr-FR"/>
        </w:rPr>
        <w:t>’</w:t>
      </w:r>
      <w:r w:rsidRPr="00F91560">
        <w:rPr>
          <w:rFonts w:eastAsiaTheme="minorHAnsi"/>
          <w:lang w:val="fr-FR"/>
        </w:rPr>
        <w:t>a aucune difficulté à concevoir qu</w:t>
      </w:r>
      <w:r w:rsidR="00F21895">
        <w:rPr>
          <w:rFonts w:eastAsiaTheme="minorHAnsi"/>
          <w:lang w:val="fr-FR"/>
        </w:rPr>
        <w:t>’</w:t>
      </w:r>
      <w:r w:rsidRPr="00F91560">
        <w:rPr>
          <w:rFonts w:eastAsiaTheme="minorHAnsi"/>
          <w:lang w:val="fr-FR"/>
        </w:rPr>
        <w:t>un individu qui se trouve obligé de se soumettre à un traitement de cette nature se sente de ce seul fait atteint dans son intimité et sa dignité, tout particulièrement lorsque cela implique qu</w:t>
      </w:r>
      <w:r w:rsidR="00F21895">
        <w:rPr>
          <w:rFonts w:eastAsiaTheme="minorHAnsi"/>
          <w:lang w:val="fr-FR"/>
        </w:rPr>
        <w:t>’</w:t>
      </w:r>
      <w:r w:rsidRPr="00F91560">
        <w:rPr>
          <w:rFonts w:eastAsiaTheme="minorHAnsi"/>
          <w:lang w:val="fr-FR"/>
        </w:rPr>
        <w:t>il se dévêtisse devant autrui, et plus encore lorsqu</w:t>
      </w:r>
      <w:r w:rsidR="00F21895">
        <w:rPr>
          <w:rFonts w:eastAsiaTheme="minorHAnsi"/>
          <w:lang w:val="fr-FR"/>
        </w:rPr>
        <w:t>’</w:t>
      </w:r>
      <w:r w:rsidRPr="00F91560">
        <w:rPr>
          <w:rFonts w:eastAsiaTheme="minorHAnsi"/>
          <w:lang w:val="fr-FR"/>
        </w:rPr>
        <w:t>il lui faut adopter des postures embarrassantes.</w:t>
      </w:r>
    </w:p>
    <w:p w:rsidR="006F453D" w:rsidRPr="00F91560" w:rsidRDefault="006F453D" w:rsidP="00BA19BF">
      <w:pPr>
        <w:pStyle w:val="ECHRPara"/>
        <w:ind w:firstLine="426"/>
        <w:rPr>
          <w:rFonts w:eastAsiaTheme="minorHAnsi"/>
          <w:lang w:val="fr-FR"/>
        </w:rPr>
      </w:pPr>
      <w:r>
        <w:rPr>
          <w:rFonts w:eastAsiaTheme="minorHAnsi"/>
          <w:lang w:val="fr-FR"/>
        </w:rPr>
        <w:t>31.  </w:t>
      </w:r>
      <w:r w:rsidRPr="00F91560">
        <w:rPr>
          <w:rFonts w:eastAsiaTheme="minorHAnsi"/>
          <w:lang w:val="fr-FR"/>
        </w:rPr>
        <w:t>Un tel traitement n</w:t>
      </w:r>
      <w:r w:rsidR="00F21895">
        <w:rPr>
          <w:rFonts w:eastAsiaTheme="minorHAnsi"/>
          <w:lang w:val="fr-FR"/>
        </w:rPr>
        <w:t>’</w:t>
      </w:r>
      <w:r w:rsidRPr="00F91560">
        <w:rPr>
          <w:rFonts w:eastAsiaTheme="minorHAnsi"/>
          <w:lang w:val="fr-FR"/>
        </w:rPr>
        <w:t>est pourtant pas en soi illégitime : des fouilles corporelles, même intégrales, peuvent parfois se révéler nécessaires pour assurer la sécurité dans une prison – y compris celle du détenu lui-même –, défendre l</w:t>
      </w:r>
      <w:r w:rsidR="00F21895">
        <w:rPr>
          <w:rFonts w:eastAsiaTheme="minorHAnsi"/>
          <w:lang w:val="fr-FR"/>
        </w:rPr>
        <w:t>’</w:t>
      </w:r>
      <w:r w:rsidRPr="00F91560">
        <w:rPr>
          <w:rFonts w:eastAsiaTheme="minorHAnsi"/>
          <w:lang w:val="fr-FR"/>
        </w:rPr>
        <w:t>ordre ou prévenir les infractions pénales.</w:t>
      </w:r>
    </w:p>
    <w:p w:rsidR="006F453D" w:rsidRPr="00F91560" w:rsidRDefault="006F453D" w:rsidP="00BA19BF">
      <w:pPr>
        <w:pStyle w:val="ECHRPara"/>
        <w:ind w:firstLine="426"/>
        <w:rPr>
          <w:rFonts w:eastAsiaTheme="minorHAnsi"/>
          <w:lang w:val="fr-FR"/>
        </w:rPr>
      </w:pPr>
      <w:r>
        <w:rPr>
          <w:rFonts w:eastAsiaTheme="minorHAnsi"/>
          <w:lang w:val="fr-FR"/>
        </w:rPr>
        <w:t>32.  </w:t>
      </w:r>
      <w:r w:rsidRPr="00F91560">
        <w:rPr>
          <w:rFonts w:eastAsiaTheme="minorHAnsi"/>
          <w:lang w:val="fr-FR"/>
        </w:rPr>
        <w:t>Il n</w:t>
      </w:r>
      <w:r w:rsidR="00F21895">
        <w:rPr>
          <w:rFonts w:eastAsiaTheme="minorHAnsi"/>
          <w:lang w:val="fr-FR"/>
        </w:rPr>
        <w:t>’</w:t>
      </w:r>
      <w:r w:rsidRPr="00F91560">
        <w:rPr>
          <w:rFonts w:eastAsiaTheme="minorHAnsi"/>
          <w:lang w:val="fr-FR"/>
        </w:rPr>
        <w:t>en reste pas moins que ces fouilles doivent, en sus d</w:t>
      </w:r>
      <w:r w:rsidR="00F21895">
        <w:rPr>
          <w:rFonts w:eastAsiaTheme="minorHAnsi"/>
          <w:lang w:val="fr-FR"/>
        </w:rPr>
        <w:t>’</w:t>
      </w:r>
      <w:r w:rsidRPr="00F91560">
        <w:rPr>
          <w:rFonts w:eastAsiaTheme="minorHAnsi"/>
          <w:lang w:val="fr-FR"/>
        </w:rPr>
        <w:t>être nécessaires pour parvenir à l</w:t>
      </w:r>
      <w:r w:rsidR="00F21895">
        <w:rPr>
          <w:rFonts w:eastAsiaTheme="minorHAnsi"/>
          <w:lang w:val="fr-FR"/>
        </w:rPr>
        <w:t>’</w:t>
      </w:r>
      <w:r w:rsidRPr="00F91560">
        <w:rPr>
          <w:rFonts w:eastAsiaTheme="minorHAnsi"/>
          <w:lang w:val="fr-FR"/>
        </w:rPr>
        <w:t>un de ces buts, être menées selon des modalités adéquates, de manière à ce que le degré de souffrance ou d</w:t>
      </w:r>
      <w:r w:rsidR="00F21895">
        <w:rPr>
          <w:rFonts w:eastAsiaTheme="minorHAnsi"/>
          <w:lang w:val="fr-FR"/>
        </w:rPr>
        <w:t>’</w:t>
      </w:r>
      <w:r w:rsidRPr="00F91560">
        <w:rPr>
          <w:rFonts w:eastAsiaTheme="minorHAnsi"/>
          <w:lang w:val="fr-FR"/>
        </w:rPr>
        <w:t>humiliation subi par les détenus ne dépasse pas celui que comporte inévitablement cette forme de traitement légitime. À défaut, elles enfreignent l</w:t>
      </w:r>
      <w:r w:rsidR="00F21895">
        <w:rPr>
          <w:rFonts w:eastAsiaTheme="minorHAnsi"/>
          <w:lang w:val="fr-FR"/>
        </w:rPr>
        <w:t>’</w:t>
      </w:r>
      <w:r w:rsidRPr="00F91560">
        <w:rPr>
          <w:rFonts w:eastAsiaTheme="minorHAnsi"/>
          <w:lang w:val="fr-FR"/>
        </w:rPr>
        <w:t>article 3 de la Convention (</w:t>
      </w:r>
      <w:r w:rsidRPr="00056D5B">
        <w:rPr>
          <w:rFonts w:eastAsiaTheme="minorHAnsi"/>
          <w:i/>
          <w:lang w:val="fr-FR"/>
        </w:rPr>
        <w:t>Frérot c. France</w:t>
      </w:r>
      <w:r w:rsidRPr="00F91560">
        <w:rPr>
          <w:rFonts w:eastAsiaTheme="minorHAnsi"/>
          <w:lang w:val="fr-FR"/>
        </w:rPr>
        <w:t>, précité, § 38</w:t>
      </w:r>
      <w:r>
        <w:rPr>
          <w:rFonts w:eastAsiaTheme="minorHAnsi"/>
          <w:lang w:val="fr-FR"/>
        </w:rPr>
        <w:t xml:space="preserve"> ; </w:t>
      </w:r>
      <w:r w:rsidRPr="00DE02DD">
        <w:rPr>
          <w:rFonts w:eastAsiaTheme="minorHAnsi"/>
          <w:i/>
          <w:lang w:val="fr-FR"/>
        </w:rPr>
        <w:t>Marco Mariano c. Italie</w:t>
      </w:r>
      <w:r>
        <w:rPr>
          <w:rFonts w:eastAsiaTheme="minorHAnsi"/>
          <w:lang w:val="fr-FR"/>
        </w:rPr>
        <w:t>, (</w:t>
      </w:r>
      <w:proofErr w:type="spellStart"/>
      <w:r>
        <w:rPr>
          <w:rFonts w:eastAsiaTheme="minorHAnsi"/>
          <w:lang w:val="fr-FR"/>
        </w:rPr>
        <w:t>déc</w:t>
      </w:r>
      <w:proofErr w:type="spellEnd"/>
      <w:r w:rsidRPr="00F91560">
        <w:rPr>
          <w:rFonts w:eastAsiaTheme="minorHAnsi"/>
          <w:lang w:val="fr-FR"/>
        </w:rPr>
        <w:t>)</w:t>
      </w:r>
      <w:r>
        <w:rPr>
          <w:rFonts w:eastAsiaTheme="minorHAnsi"/>
          <w:lang w:val="fr-FR"/>
        </w:rPr>
        <w:t>, n</w:t>
      </w:r>
      <w:r w:rsidRPr="00644409">
        <w:rPr>
          <w:rFonts w:eastAsiaTheme="minorHAnsi"/>
          <w:vertAlign w:val="superscript"/>
          <w:lang w:val="fr-FR"/>
        </w:rPr>
        <w:t>o</w:t>
      </w:r>
      <w:r>
        <w:rPr>
          <w:rFonts w:eastAsiaTheme="minorHAnsi"/>
          <w:lang w:val="fr-FR"/>
        </w:rPr>
        <w:t xml:space="preserve"> 35086/02, 23 février 2010)</w:t>
      </w:r>
      <w:r w:rsidRPr="00F91560">
        <w:rPr>
          <w:rFonts w:eastAsiaTheme="minorHAnsi"/>
          <w:lang w:val="fr-FR"/>
        </w:rPr>
        <w:t>.</w:t>
      </w:r>
    </w:p>
    <w:p w:rsidR="006F453D" w:rsidRPr="00F91560" w:rsidRDefault="006F453D" w:rsidP="00BA19BF">
      <w:pPr>
        <w:pStyle w:val="ECHRPara"/>
        <w:ind w:firstLine="426"/>
        <w:rPr>
          <w:rFonts w:eastAsiaTheme="minorHAnsi"/>
          <w:lang w:val="fr-FR"/>
        </w:rPr>
      </w:pPr>
      <w:r>
        <w:rPr>
          <w:rFonts w:eastAsiaTheme="minorHAnsi"/>
          <w:lang w:val="fr-FR"/>
        </w:rPr>
        <w:t>33.  L</w:t>
      </w:r>
      <w:r w:rsidRPr="00F91560">
        <w:rPr>
          <w:rFonts w:eastAsiaTheme="minorHAnsi"/>
          <w:lang w:val="fr-FR"/>
        </w:rPr>
        <w:t>es allégations de mauvais traitement doivent</w:t>
      </w:r>
      <w:r>
        <w:rPr>
          <w:rFonts w:eastAsiaTheme="minorHAnsi"/>
          <w:lang w:val="fr-FR"/>
        </w:rPr>
        <w:t>, toutefois,</w:t>
      </w:r>
      <w:r w:rsidRPr="00F91560">
        <w:rPr>
          <w:rFonts w:eastAsiaTheme="minorHAnsi"/>
          <w:lang w:val="fr-FR"/>
        </w:rPr>
        <w:t xml:space="preserve"> être étayées devant la Cour par des éléments de preuve appropriés (</w:t>
      </w:r>
      <w:proofErr w:type="spellStart"/>
      <w:r w:rsidRPr="00F70BD7">
        <w:rPr>
          <w:rFonts w:eastAsiaTheme="minorHAnsi"/>
          <w:i/>
          <w:lang w:val="fr-FR"/>
        </w:rPr>
        <w:t>Ananyev</w:t>
      </w:r>
      <w:proofErr w:type="spellEnd"/>
      <w:r w:rsidRPr="00F70BD7">
        <w:rPr>
          <w:rFonts w:eastAsiaTheme="minorHAnsi"/>
          <w:i/>
          <w:lang w:val="fr-FR"/>
        </w:rPr>
        <w:t xml:space="preserve"> et autres c. Russie</w:t>
      </w:r>
      <w:r>
        <w:rPr>
          <w:rFonts w:eastAsiaTheme="minorHAnsi"/>
          <w:lang w:val="fr-FR"/>
        </w:rPr>
        <w:t>, n</w:t>
      </w:r>
      <w:r w:rsidRPr="00F70BD7">
        <w:rPr>
          <w:rFonts w:eastAsiaTheme="minorHAnsi"/>
          <w:vertAlign w:val="superscript"/>
          <w:lang w:val="fr-FR"/>
        </w:rPr>
        <w:t>os</w:t>
      </w:r>
      <w:r>
        <w:rPr>
          <w:rFonts w:eastAsiaTheme="minorHAnsi"/>
          <w:lang w:val="fr-FR"/>
        </w:rPr>
        <w:t xml:space="preserve"> 42525/07 et 60800/08, 10 janvier 2012, </w:t>
      </w:r>
      <w:r w:rsidRPr="00F91560">
        <w:rPr>
          <w:rFonts w:eastAsiaTheme="minorHAnsi"/>
          <w:lang w:val="fr-FR"/>
        </w:rPr>
        <w:t xml:space="preserve">§ </w:t>
      </w:r>
      <w:r>
        <w:rPr>
          <w:rFonts w:eastAsiaTheme="minorHAnsi"/>
          <w:lang w:val="fr-FR"/>
        </w:rPr>
        <w:t>121</w:t>
      </w:r>
      <w:r w:rsidRPr="00F91560">
        <w:rPr>
          <w:rFonts w:eastAsiaTheme="minorHAnsi"/>
          <w:lang w:val="fr-FR"/>
        </w:rPr>
        <w:t>). Pour</w:t>
      </w:r>
      <w:r>
        <w:rPr>
          <w:rFonts w:eastAsiaTheme="minorHAnsi"/>
          <w:lang w:val="fr-FR"/>
        </w:rPr>
        <w:t> </w:t>
      </w:r>
      <w:r w:rsidRPr="00F91560">
        <w:rPr>
          <w:rFonts w:eastAsiaTheme="minorHAnsi"/>
          <w:lang w:val="fr-FR"/>
        </w:rPr>
        <w:t>l</w:t>
      </w:r>
      <w:r w:rsidR="00F21895">
        <w:rPr>
          <w:rFonts w:eastAsiaTheme="minorHAnsi"/>
          <w:lang w:val="fr-FR"/>
        </w:rPr>
        <w:t>’</w:t>
      </w:r>
      <w:r w:rsidRPr="00F91560">
        <w:rPr>
          <w:rFonts w:eastAsiaTheme="minorHAnsi"/>
          <w:lang w:val="fr-FR"/>
        </w:rPr>
        <w:t>établissement des faits allégués, la Cour se sert du critère de la preuve « au-delà de tout doute raisonnable » ; une telle preuve peut néanmoins résulter d</w:t>
      </w:r>
      <w:r w:rsidR="00F21895">
        <w:rPr>
          <w:rFonts w:eastAsiaTheme="minorHAnsi"/>
          <w:lang w:val="fr-FR"/>
        </w:rPr>
        <w:t>’</w:t>
      </w:r>
      <w:r w:rsidRPr="00F91560">
        <w:rPr>
          <w:rFonts w:eastAsiaTheme="minorHAnsi"/>
          <w:lang w:val="fr-FR"/>
        </w:rPr>
        <w:t>un faisceau d</w:t>
      </w:r>
      <w:r w:rsidR="00F21895">
        <w:rPr>
          <w:rFonts w:eastAsiaTheme="minorHAnsi"/>
          <w:lang w:val="fr-FR"/>
        </w:rPr>
        <w:t>’</w:t>
      </w:r>
      <w:r w:rsidRPr="00F91560">
        <w:rPr>
          <w:rFonts w:eastAsiaTheme="minorHAnsi"/>
          <w:lang w:val="fr-FR"/>
        </w:rPr>
        <w:t xml:space="preserve">indices, ou de présomptions non réfutées, suffisamment graves, précises et concordantes (voir, entre autres, </w:t>
      </w:r>
      <w:proofErr w:type="spellStart"/>
      <w:r w:rsidRPr="00BA5696">
        <w:rPr>
          <w:rFonts w:eastAsiaTheme="minorHAnsi"/>
          <w:i/>
          <w:lang w:val="fr-FR"/>
        </w:rPr>
        <w:t>Labita</w:t>
      </w:r>
      <w:proofErr w:type="spellEnd"/>
      <w:r>
        <w:rPr>
          <w:rFonts w:eastAsiaTheme="minorHAnsi"/>
          <w:lang w:val="fr-FR"/>
        </w:rPr>
        <w:t xml:space="preserve"> précité, § 121</w:t>
      </w:r>
      <w:r w:rsidRPr="00F91560">
        <w:rPr>
          <w:rFonts w:eastAsiaTheme="minorHAnsi"/>
          <w:lang w:val="fr-FR"/>
        </w:rPr>
        <w:t>).</w:t>
      </w:r>
    </w:p>
    <w:p w:rsidR="006F453D" w:rsidRDefault="006F453D" w:rsidP="00BA19BF">
      <w:pPr>
        <w:pStyle w:val="ECHRPara"/>
        <w:ind w:firstLine="426"/>
        <w:rPr>
          <w:rFonts w:eastAsiaTheme="minorHAnsi"/>
          <w:lang w:val="fr-FR"/>
        </w:rPr>
      </w:pPr>
      <w:r>
        <w:rPr>
          <w:rFonts w:eastAsiaTheme="minorHAnsi"/>
          <w:lang w:val="fr-FR"/>
        </w:rPr>
        <w:lastRenderedPageBreak/>
        <w:t>34.  </w:t>
      </w:r>
      <w:r w:rsidRPr="00F91560">
        <w:rPr>
          <w:rFonts w:eastAsiaTheme="minorHAnsi"/>
          <w:lang w:val="fr-FR"/>
        </w:rPr>
        <w:t>En l</w:t>
      </w:r>
      <w:r w:rsidR="00F21895">
        <w:rPr>
          <w:rFonts w:eastAsiaTheme="minorHAnsi"/>
          <w:lang w:val="fr-FR"/>
        </w:rPr>
        <w:t>’</w:t>
      </w:r>
      <w:r w:rsidRPr="00F91560">
        <w:rPr>
          <w:rFonts w:eastAsiaTheme="minorHAnsi"/>
          <w:lang w:val="fr-FR"/>
        </w:rPr>
        <w:t xml:space="preserve">espèce, la Cour </w:t>
      </w:r>
      <w:r>
        <w:rPr>
          <w:rFonts w:eastAsiaTheme="minorHAnsi"/>
          <w:lang w:val="fr-FR"/>
        </w:rPr>
        <w:t>relève que le requérant, après avoir allégué de manière générale avoir subi une série de contrôles au corps (paragraphe 8 ci-dessus), n</w:t>
      </w:r>
      <w:r w:rsidR="00F21895">
        <w:rPr>
          <w:rFonts w:eastAsiaTheme="minorHAnsi"/>
          <w:lang w:val="fr-FR"/>
        </w:rPr>
        <w:t>’</w:t>
      </w:r>
      <w:r>
        <w:rPr>
          <w:rFonts w:eastAsiaTheme="minorHAnsi"/>
          <w:lang w:val="fr-FR"/>
        </w:rPr>
        <w:t>a pas contesté l</w:t>
      </w:r>
      <w:r w:rsidR="00F21895">
        <w:rPr>
          <w:rFonts w:eastAsiaTheme="minorHAnsi"/>
          <w:lang w:val="fr-FR"/>
        </w:rPr>
        <w:t>’</w:t>
      </w:r>
      <w:r>
        <w:rPr>
          <w:rFonts w:eastAsiaTheme="minorHAnsi"/>
          <w:lang w:val="fr-FR"/>
        </w:rPr>
        <w:t>affirmation du Gouvernement selon laquelle les fouilles corporelles n</w:t>
      </w:r>
      <w:r w:rsidR="00F21895">
        <w:rPr>
          <w:rFonts w:eastAsiaTheme="minorHAnsi"/>
          <w:lang w:val="fr-FR"/>
        </w:rPr>
        <w:t>’</w:t>
      </w:r>
      <w:r>
        <w:rPr>
          <w:rFonts w:eastAsiaTheme="minorHAnsi"/>
          <w:lang w:val="fr-FR"/>
        </w:rPr>
        <w:t>ont eu lieu que lorsque l</w:t>
      </w:r>
      <w:r w:rsidR="00F21895">
        <w:rPr>
          <w:rFonts w:eastAsiaTheme="minorHAnsi"/>
          <w:lang w:val="fr-FR"/>
        </w:rPr>
        <w:t>’</w:t>
      </w:r>
      <w:r>
        <w:rPr>
          <w:rFonts w:eastAsiaTheme="minorHAnsi"/>
          <w:lang w:val="fr-FR"/>
        </w:rPr>
        <w:t>intéressé a été en contact direct et sans séparation ou protection, avec des personnes venues de l</w:t>
      </w:r>
      <w:r w:rsidR="00F21895">
        <w:rPr>
          <w:rFonts w:eastAsiaTheme="minorHAnsi"/>
          <w:lang w:val="fr-FR"/>
        </w:rPr>
        <w:t>’</w:t>
      </w:r>
      <w:r>
        <w:rPr>
          <w:rFonts w:eastAsiaTheme="minorHAnsi"/>
          <w:lang w:val="fr-FR"/>
        </w:rPr>
        <w:t>extérieur de la prison. Par conséquent, la Cour constate l</w:t>
      </w:r>
      <w:r w:rsidR="00F21895">
        <w:rPr>
          <w:rFonts w:eastAsiaTheme="minorHAnsi"/>
          <w:lang w:val="fr-FR"/>
        </w:rPr>
        <w:t>’</w:t>
      </w:r>
      <w:r>
        <w:rPr>
          <w:rFonts w:eastAsiaTheme="minorHAnsi"/>
          <w:lang w:val="fr-FR"/>
        </w:rPr>
        <w:t>absence de toute preuve montrant au-delà de tout doute raisonnable que les limitations et restrictions alléguées ont atteint le seuil de gravité requis par la disposition invoquée.</w:t>
      </w:r>
    </w:p>
    <w:p w:rsidR="006F453D" w:rsidRPr="00F91560" w:rsidRDefault="006F453D" w:rsidP="00BA19BF">
      <w:pPr>
        <w:pStyle w:val="ECHRPara"/>
        <w:ind w:firstLine="426"/>
        <w:rPr>
          <w:rFonts w:eastAsiaTheme="minorHAnsi"/>
          <w:lang w:val="fr-FR"/>
        </w:rPr>
      </w:pPr>
      <w:r>
        <w:rPr>
          <w:rFonts w:eastAsiaTheme="minorHAnsi"/>
          <w:lang w:val="fr-FR"/>
        </w:rPr>
        <w:t>35.  </w:t>
      </w:r>
      <w:r w:rsidRPr="00F91560">
        <w:rPr>
          <w:rFonts w:eastAsiaTheme="minorHAnsi"/>
          <w:lang w:val="fr-FR"/>
        </w:rPr>
        <w:t>P</w:t>
      </w:r>
      <w:r>
        <w:rPr>
          <w:rFonts w:eastAsiaTheme="minorHAnsi"/>
          <w:lang w:val="fr-FR"/>
        </w:rPr>
        <w:t>areillement, p</w:t>
      </w:r>
      <w:r w:rsidRPr="00F91560">
        <w:rPr>
          <w:rFonts w:eastAsiaTheme="minorHAnsi"/>
          <w:lang w:val="fr-FR"/>
        </w:rPr>
        <w:t xml:space="preserve">our ce qui est de la vidéosurveillance de la cellule, </w:t>
      </w:r>
      <w:r>
        <w:rPr>
          <w:rFonts w:eastAsiaTheme="minorHAnsi"/>
          <w:lang w:val="fr-FR"/>
        </w:rPr>
        <w:t>la Cour considère qu</w:t>
      </w:r>
      <w:r w:rsidR="00F21895">
        <w:rPr>
          <w:rFonts w:eastAsiaTheme="minorHAnsi"/>
          <w:lang w:val="fr-FR"/>
        </w:rPr>
        <w:t>’</w:t>
      </w:r>
      <w:r>
        <w:rPr>
          <w:rFonts w:eastAsiaTheme="minorHAnsi"/>
          <w:lang w:val="fr-FR"/>
        </w:rPr>
        <w:t>i</w:t>
      </w:r>
      <w:r w:rsidRPr="00F91560">
        <w:rPr>
          <w:rFonts w:eastAsiaTheme="minorHAnsi"/>
          <w:lang w:val="fr-FR"/>
        </w:rPr>
        <w:t>l s</w:t>
      </w:r>
      <w:r w:rsidR="00F21895">
        <w:rPr>
          <w:rFonts w:eastAsiaTheme="minorHAnsi"/>
          <w:lang w:val="fr-FR"/>
        </w:rPr>
        <w:t>’</w:t>
      </w:r>
      <w:r w:rsidRPr="00F91560">
        <w:rPr>
          <w:rFonts w:eastAsiaTheme="minorHAnsi"/>
          <w:lang w:val="fr-FR"/>
        </w:rPr>
        <w:t>agit d</w:t>
      </w:r>
      <w:r w:rsidR="00F21895">
        <w:rPr>
          <w:rFonts w:eastAsiaTheme="minorHAnsi"/>
          <w:lang w:val="fr-FR"/>
        </w:rPr>
        <w:t>’</w:t>
      </w:r>
      <w:r w:rsidRPr="00F91560">
        <w:rPr>
          <w:rFonts w:eastAsiaTheme="minorHAnsi"/>
          <w:lang w:val="fr-FR"/>
        </w:rPr>
        <w:t>une mesure de précaution visant à préserver l</w:t>
      </w:r>
      <w:r w:rsidR="00F21895">
        <w:rPr>
          <w:rFonts w:eastAsiaTheme="minorHAnsi"/>
          <w:lang w:val="fr-FR"/>
        </w:rPr>
        <w:t>’</w:t>
      </w:r>
      <w:r w:rsidRPr="00F91560">
        <w:rPr>
          <w:rFonts w:eastAsiaTheme="minorHAnsi"/>
          <w:lang w:val="fr-FR"/>
        </w:rPr>
        <w:t>ordre et utile pour intervenir en cas de danger menaçant le détenu et donc poursuivant un but légitime, auquel elle est proportionnée, qui n</w:t>
      </w:r>
      <w:r w:rsidR="00F21895">
        <w:rPr>
          <w:rFonts w:eastAsiaTheme="minorHAnsi"/>
          <w:lang w:val="fr-FR"/>
        </w:rPr>
        <w:t>’</w:t>
      </w:r>
      <w:r w:rsidRPr="00F91560">
        <w:rPr>
          <w:rFonts w:eastAsiaTheme="minorHAnsi"/>
          <w:lang w:val="fr-FR"/>
        </w:rPr>
        <w:t>aggrave pas dans une mesure significative les limitations de la liberté individuelle et du respect de la vie privée qui sont nécessairement inhérentes à l</w:t>
      </w:r>
      <w:r w:rsidR="00F21895">
        <w:rPr>
          <w:rFonts w:eastAsiaTheme="minorHAnsi"/>
          <w:lang w:val="fr-FR"/>
        </w:rPr>
        <w:t>’</w:t>
      </w:r>
      <w:r w:rsidRPr="00F91560">
        <w:rPr>
          <w:rFonts w:eastAsiaTheme="minorHAnsi"/>
          <w:lang w:val="fr-FR"/>
        </w:rPr>
        <w:t>état de détention.</w:t>
      </w:r>
      <w:r>
        <w:rPr>
          <w:rFonts w:eastAsiaTheme="minorHAnsi"/>
          <w:lang w:val="fr-FR"/>
        </w:rPr>
        <w:t xml:space="preserve"> Elle</w:t>
      </w:r>
      <w:r w:rsidRPr="00CC6E67">
        <w:rPr>
          <w:rFonts w:eastAsiaTheme="minorHAnsi"/>
          <w:lang w:val="fr-FR"/>
        </w:rPr>
        <w:t xml:space="preserve"> note que le requérant ne lui a pas fourni d</w:t>
      </w:r>
      <w:r w:rsidR="00F21895">
        <w:rPr>
          <w:rFonts w:eastAsiaTheme="minorHAnsi"/>
          <w:lang w:val="fr-FR"/>
        </w:rPr>
        <w:t>’</w:t>
      </w:r>
      <w:r w:rsidRPr="00CC6E67">
        <w:rPr>
          <w:rFonts w:eastAsiaTheme="minorHAnsi"/>
          <w:lang w:val="fr-FR"/>
        </w:rPr>
        <w:t xml:space="preserve">éléments qui lui permettraient de conclure que </w:t>
      </w:r>
      <w:r>
        <w:rPr>
          <w:rFonts w:eastAsiaTheme="minorHAnsi"/>
          <w:lang w:val="fr-FR"/>
        </w:rPr>
        <w:t>la mesure litigieuse l</w:t>
      </w:r>
      <w:r w:rsidR="00F21895">
        <w:rPr>
          <w:rFonts w:eastAsiaTheme="minorHAnsi"/>
          <w:lang w:val="fr-FR"/>
        </w:rPr>
        <w:t>’</w:t>
      </w:r>
      <w:r>
        <w:rPr>
          <w:rFonts w:eastAsiaTheme="minorHAnsi"/>
          <w:lang w:val="fr-FR"/>
        </w:rPr>
        <w:t xml:space="preserve">a soumis à des traitements suffisamment graves pour </w:t>
      </w:r>
      <w:r w:rsidRPr="00CC6E67">
        <w:rPr>
          <w:rFonts w:eastAsiaTheme="minorHAnsi"/>
          <w:lang w:val="fr-FR"/>
        </w:rPr>
        <w:t>tomb</w:t>
      </w:r>
      <w:r>
        <w:rPr>
          <w:rFonts w:eastAsiaTheme="minorHAnsi"/>
          <w:lang w:val="fr-FR"/>
        </w:rPr>
        <w:t>er</w:t>
      </w:r>
      <w:r w:rsidRPr="00CC6E67">
        <w:rPr>
          <w:rFonts w:eastAsiaTheme="minorHAnsi"/>
          <w:lang w:val="fr-FR"/>
        </w:rPr>
        <w:t xml:space="preserve"> sous le coup de l</w:t>
      </w:r>
      <w:r w:rsidR="00F21895">
        <w:rPr>
          <w:rFonts w:eastAsiaTheme="minorHAnsi"/>
          <w:lang w:val="fr-FR"/>
        </w:rPr>
        <w:t>’</w:t>
      </w:r>
      <w:r w:rsidRPr="00CC6E67">
        <w:rPr>
          <w:rFonts w:eastAsiaTheme="minorHAnsi"/>
          <w:lang w:val="fr-FR"/>
        </w:rPr>
        <w:t>article 3.</w:t>
      </w:r>
    </w:p>
    <w:p w:rsidR="006F453D" w:rsidRDefault="006F453D" w:rsidP="00BA19BF">
      <w:pPr>
        <w:pStyle w:val="ECHRPara"/>
        <w:ind w:firstLine="426"/>
        <w:rPr>
          <w:rFonts w:eastAsiaTheme="minorHAnsi"/>
          <w:lang w:val="fr-FR"/>
        </w:rPr>
      </w:pPr>
      <w:r>
        <w:rPr>
          <w:rFonts w:eastAsiaTheme="minorHAnsi"/>
          <w:lang w:val="fr-FR"/>
        </w:rPr>
        <w:t>36.  Par conséquent, la Cour estime que cette partie du grief aussi est manifestement mal fondée et doit être rejetée en application de l</w:t>
      </w:r>
      <w:r w:rsidR="00F21895">
        <w:rPr>
          <w:rFonts w:eastAsiaTheme="minorHAnsi"/>
          <w:lang w:val="fr-FR"/>
        </w:rPr>
        <w:t>’</w:t>
      </w:r>
      <w:r>
        <w:rPr>
          <w:rFonts w:eastAsiaTheme="minorHAnsi"/>
          <w:lang w:val="fr-FR"/>
        </w:rPr>
        <w:t>article 35 §§ 3 a) et 4 de la Convention.</w:t>
      </w:r>
    </w:p>
    <w:p w:rsidR="006F453D" w:rsidRPr="00C87886" w:rsidRDefault="006F453D" w:rsidP="00BA19BF">
      <w:pPr>
        <w:pStyle w:val="ECHRHeading2"/>
        <w:ind w:hanging="158"/>
        <w:rPr>
          <w:i/>
          <w:lang w:val="fr-FR"/>
        </w:rPr>
      </w:pPr>
      <w:r>
        <w:rPr>
          <w:i/>
          <w:lang w:val="fr-FR"/>
        </w:rPr>
        <w:t>B</w:t>
      </w:r>
      <w:r w:rsidRPr="00C87886">
        <w:rPr>
          <w:i/>
          <w:lang w:val="fr-FR"/>
        </w:rPr>
        <w:t>.  A</w:t>
      </w:r>
      <w:r>
        <w:rPr>
          <w:i/>
          <w:lang w:val="fr-FR"/>
        </w:rPr>
        <w:t>rticle 8</w:t>
      </w:r>
      <w:r w:rsidRPr="00C87886">
        <w:rPr>
          <w:i/>
          <w:lang w:val="fr-FR"/>
        </w:rPr>
        <w:t xml:space="preserve"> de la Convention</w:t>
      </w:r>
    </w:p>
    <w:p w:rsidR="006F453D" w:rsidRPr="005215EA" w:rsidRDefault="006F453D" w:rsidP="00BA19BF">
      <w:pPr>
        <w:pStyle w:val="ECHRPara"/>
        <w:ind w:firstLine="426"/>
        <w:rPr>
          <w:rFonts w:eastAsiaTheme="minorHAnsi"/>
          <w:lang w:val="fr-FR"/>
        </w:rPr>
      </w:pPr>
      <w:r>
        <w:rPr>
          <w:rFonts w:eastAsiaTheme="minorHAnsi"/>
          <w:lang w:val="fr-FR"/>
        </w:rPr>
        <w:t>37.  </w:t>
      </w:r>
      <w:r w:rsidRPr="005215EA">
        <w:rPr>
          <w:rStyle w:val="sb8d990e2"/>
          <w:lang w:val="fr-FR"/>
        </w:rPr>
        <w:t xml:space="preserve">Le requérant se plaint </w:t>
      </w:r>
      <w:r>
        <w:rPr>
          <w:rStyle w:val="sb8d990e2"/>
          <w:lang w:val="fr-FR"/>
        </w:rPr>
        <w:t xml:space="preserve">également </w:t>
      </w:r>
      <w:r w:rsidRPr="005215EA">
        <w:rPr>
          <w:rStyle w:val="sb8d990e2"/>
          <w:lang w:val="fr-FR"/>
        </w:rPr>
        <w:t>de la violation de son droit au respect de sa vie familiale en raison des restrictions auxquelles il est soumis</w:t>
      </w:r>
      <w:r>
        <w:rPr>
          <w:rStyle w:val="sb8d990e2"/>
          <w:lang w:val="fr-FR"/>
        </w:rPr>
        <w:t xml:space="preserve"> (entre autres, limitations des visites et des contacts, éloignements de ses proches)</w:t>
      </w:r>
      <w:r w:rsidRPr="005215EA">
        <w:rPr>
          <w:rStyle w:val="sb8d990e2"/>
          <w:lang w:val="fr-FR"/>
        </w:rPr>
        <w:t>. Il invoque l</w:t>
      </w:r>
      <w:r w:rsidR="00F21895">
        <w:rPr>
          <w:rStyle w:val="sb8d990e2"/>
          <w:lang w:val="fr-FR"/>
        </w:rPr>
        <w:t>’</w:t>
      </w:r>
      <w:r w:rsidRPr="005215EA">
        <w:rPr>
          <w:rStyle w:val="sb8d990e2"/>
          <w:lang w:val="fr-FR"/>
        </w:rPr>
        <w:t>article 8 de la Convention, aux termes duquel :</w:t>
      </w:r>
    </w:p>
    <w:p w:rsidR="006F453D" w:rsidRPr="00A06794" w:rsidRDefault="006F453D" w:rsidP="008626FD">
      <w:pPr>
        <w:pStyle w:val="ECHRParaQuote"/>
        <w:rPr>
          <w:lang w:val="fr-FR"/>
        </w:rPr>
      </w:pPr>
      <w:r w:rsidRPr="00A06794">
        <w:rPr>
          <w:rStyle w:val="sfbbfee58"/>
          <w:lang w:val="fr-FR"/>
        </w:rPr>
        <w:t>«1. Toute personne a droit au respect de sa vie familiale (...).</w:t>
      </w:r>
    </w:p>
    <w:p w:rsidR="006F453D" w:rsidRPr="00F21895" w:rsidRDefault="006F453D" w:rsidP="008626FD">
      <w:pPr>
        <w:pStyle w:val="ECHRParaQuote"/>
        <w:rPr>
          <w:lang w:val="fr-FR"/>
        </w:rPr>
      </w:pPr>
      <w:r w:rsidRPr="00F21895">
        <w:rPr>
          <w:rStyle w:val="sfbbfee58"/>
          <w:lang w:val="fr-FR"/>
        </w:rPr>
        <w:t>2. Il ne peut y avoir ingérence d</w:t>
      </w:r>
      <w:r w:rsidR="00F21895">
        <w:rPr>
          <w:rStyle w:val="sfbbfee58"/>
          <w:lang w:val="fr-FR"/>
        </w:rPr>
        <w:t>’</w:t>
      </w:r>
      <w:r w:rsidRPr="00F21895">
        <w:rPr>
          <w:rStyle w:val="sfbbfee58"/>
          <w:lang w:val="fr-FR"/>
        </w:rPr>
        <w:t>une autorité publique dans l</w:t>
      </w:r>
      <w:r w:rsidR="00F21895">
        <w:rPr>
          <w:rStyle w:val="sfbbfee58"/>
          <w:lang w:val="fr-FR"/>
        </w:rPr>
        <w:t>’</w:t>
      </w:r>
      <w:r w:rsidRPr="00F21895">
        <w:rPr>
          <w:rStyle w:val="sfbbfee58"/>
          <w:lang w:val="fr-FR"/>
        </w:rPr>
        <w:t>exercice de ce droit que pour autant que cette ingérence est prévue par la loi et qu</w:t>
      </w:r>
      <w:r w:rsidR="00F21895">
        <w:rPr>
          <w:rStyle w:val="sfbbfee58"/>
          <w:lang w:val="fr-FR"/>
        </w:rPr>
        <w:t>’</w:t>
      </w:r>
      <w:r w:rsidRPr="00F21895">
        <w:rPr>
          <w:rStyle w:val="sfbbfee58"/>
          <w:lang w:val="fr-FR"/>
        </w:rPr>
        <w:t>elle constitue une mesure qui, dans une société démocratique, est nécessaire (...) à la sûreté publique, (...) à la défense de l</w:t>
      </w:r>
      <w:r w:rsidR="00F21895">
        <w:rPr>
          <w:rStyle w:val="sfbbfee58"/>
          <w:lang w:val="fr-FR"/>
        </w:rPr>
        <w:t>’</w:t>
      </w:r>
      <w:r w:rsidRPr="00F21895">
        <w:rPr>
          <w:rStyle w:val="sfbbfee58"/>
          <w:lang w:val="fr-FR"/>
        </w:rPr>
        <w:t>ordre et à la prévention des infractions pénales, (...). »</w:t>
      </w:r>
    </w:p>
    <w:p w:rsidR="006F453D" w:rsidRDefault="006F453D" w:rsidP="00BA19BF">
      <w:pPr>
        <w:pStyle w:val="ECHRPara"/>
        <w:ind w:firstLine="426"/>
        <w:rPr>
          <w:lang w:val="fr-FR"/>
        </w:rPr>
      </w:pPr>
      <w:r>
        <w:rPr>
          <w:lang w:val="fr-FR"/>
        </w:rPr>
        <w:t>38.  </w:t>
      </w:r>
      <w:r w:rsidRPr="005C55B1">
        <w:rPr>
          <w:lang w:val="fr-FR"/>
        </w:rPr>
        <w:t>Le</w:t>
      </w:r>
      <w:r w:rsidRPr="00DC0D86">
        <w:rPr>
          <w:lang w:val="fr-FR"/>
        </w:rPr>
        <w:t xml:space="preserve"> Gouvernement réitère</w:t>
      </w:r>
      <w:r w:rsidRPr="005C55B1">
        <w:rPr>
          <w:lang w:val="fr-FR"/>
        </w:rPr>
        <w:t xml:space="preserve"> ses arguments relatifs à la dangerosité du requérant et à la nécessité</w:t>
      </w:r>
      <w:r w:rsidRPr="00A312FC">
        <w:rPr>
          <w:lang w:val="fr-FR"/>
        </w:rPr>
        <w:t xml:space="preserve"> </w:t>
      </w:r>
      <w:r w:rsidRPr="005C55B1">
        <w:rPr>
          <w:lang w:val="fr-FR"/>
        </w:rPr>
        <w:t>de limiter, en ce qui concerne les détenus soumis au régime spécial de détention, le nombre de visites et d</w:t>
      </w:r>
      <w:r w:rsidR="00F21895">
        <w:rPr>
          <w:lang w:val="fr-FR"/>
        </w:rPr>
        <w:t>’</w:t>
      </w:r>
      <w:r w:rsidRPr="005C55B1">
        <w:rPr>
          <w:lang w:val="fr-FR"/>
        </w:rPr>
        <w:t>en réglementer très strictement le déroulement.</w:t>
      </w:r>
    </w:p>
    <w:p w:rsidR="006F453D" w:rsidRDefault="006F453D" w:rsidP="00BA19BF">
      <w:pPr>
        <w:pStyle w:val="ECHRPara"/>
        <w:ind w:firstLine="426"/>
        <w:rPr>
          <w:rFonts w:ascii="Times New Roman" w:eastAsia="Times New Roman" w:hAnsi="Times New Roman" w:cs="Times New Roman"/>
          <w:szCs w:val="24"/>
          <w:lang w:val="fr-FR"/>
        </w:rPr>
      </w:pPr>
      <w:r>
        <w:rPr>
          <w:rFonts w:ascii="Times New Roman" w:eastAsia="Times New Roman" w:hAnsi="Times New Roman" w:cs="Times New Roman"/>
          <w:szCs w:val="24"/>
          <w:lang w:val="fr-FR"/>
        </w:rPr>
        <w:t>39.  </w:t>
      </w:r>
      <w:r w:rsidRPr="009115A5">
        <w:rPr>
          <w:rFonts w:ascii="Times New Roman" w:eastAsia="Times New Roman" w:hAnsi="Times New Roman" w:cs="Times New Roman"/>
          <w:szCs w:val="24"/>
          <w:lang w:val="fr-FR"/>
        </w:rPr>
        <w:t>Après examen du dossier, dans la mesure où les allégations ont été étayées, la Cour estime que les restrictions ne sont pas allées au-delà de ce qui, aux termes de l</w:t>
      </w:r>
      <w:r w:rsidR="00F21895">
        <w:rPr>
          <w:rFonts w:ascii="Times New Roman" w:eastAsia="Times New Roman" w:hAnsi="Times New Roman" w:cs="Times New Roman"/>
          <w:szCs w:val="24"/>
          <w:lang w:val="fr-FR"/>
        </w:rPr>
        <w:t>’</w:t>
      </w:r>
      <w:r w:rsidRPr="009115A5">
        <w:rPr>
          <w:rFonts w:ascii="Times New Roman" w:eastAsia="Times New Roman" w:hAnsi="Times New Roman" w:cs="Times New Roman"/>
          <w:szCs w:val="24"/>
          <w:lang w:val="fr-FR"/>
        </w:rPr>
        <w:t>article 8 § 2, est nécessaire, dans une société démocratique, à la sûreté publique, à la défense de l</w:t>
      </w:r>
      <w:r w:rsidR="00F21895">
        <w:rPr>
          <w:rFonts w:ascii="Times New Roman" w:eastAsia="Times New Roman" w:hAnsi="Times New Roman" w:cs="Times New Roman"/>
          <w:szCs w:val="24"/>
          <w:lang w:val="fr-FR"/>
        </w:rPr>
        <w:t>’</w:t>
      </w:r>
      <w:r w:rsidRPr="009115A5">
        <w:rPr>
          <w:rFonts w:ascii="Times New Roman" w:eastAsia="Times New Roman" w:hAnsi="Times New Roman" w:cs="Times New Roman"/>
          <w:szCs w:val="24"/>
          <w:lang w:val="fr-FR"/>
        </w:rPr>
        <w:t>ordre et à la prévention des infractions pénales. Elle estime donc que rien ne lui permet de s</w:t>
      </w:r>
      <w:r w:rsidR="00F21895">
        <w:rPr>
          <w:rFonts w:ascii="Times New Roman" w:eastAsia="Times New Roman" w:hAnsi="Times New Roman" w:cs="Times New Roman"/>
          <w:szCs w:val="24"/>
          <w:lang w:val="fr-FR"/>
        </w:rPr>
        <w:t>’</w:t>
      </w:r>
      <w:r w:rsidRPr="009115A5">
        <w:rPr>
          <w:rFonts w:ascii="Times New Roman" w:eastAsia="Times New Roman" w:hAnsi="Times New Roman" w:cs="Times New Roman"/>
          <w:szCs w:val="24"/>
          <w:lang w:val="fr-FR"/>
        </w:rPr>
        <w:t>écarter des conclusions tirées dans l</w:t>
      </w:r>
      <w:r w:rsidR="00F21895">
        <w:rPr>
          <w:rFonts w:ascii="Times New Roman" w:eastAsia="Times New Roman" w:hAnsi="Times New Roman" w:cs="Times New Roman"/>
          <w:szCs w:val="24"/>
          <w:lang w:val="fr-FR"/>
        </w:rPr>
        <w:t>’</w:t>
      </w:r>
      <w:r w:rsidRPr="009115A5">
        <w:rPr>
          <w:rFonts w:ascii="Times New Roman" w:eastAsia="Times New Roman" w:hAnsi="Times New Roman" w:cs="Times New Roman"/>
          <w:szCs w:val="24"/>
          <w:lang w:val="fr-FR"/>
        </w:rPr>
        <w:t xml:space="preserve">affaire </w:t>
      </w:r>
      <w:proofErr w:type="spellStart"/>
      <w:r w:rsidRPr="00C724E8">
        <w:rPr>
          <w:rFonts w:ascii="Times New Roman" w:eastAsia="Times New Roman" w:hAnsi="Times New Roman" w:cs="Times New Roman"/>
          <w:i/>
          <w:szCs w:val="24"/>
          <w:lang w:val="fr-FR"/>
        </w:rPr>
        <w:t>Enea</w:t>
      </w:r>
      <w:proofErr w:type="spellEnd"/>
      <w:r w:rsidRPr="00C724E8">
        <w:rPr>
          <w:rFonts w:ascii="Times New Roman" w:eastAsia="Times New Roman" w:hAnsi="Times New Roman" w:cs="Times New Roman"/>
          <w:i/>
          <w:szCs w:val="24"/>
          <w:lang w:val="fr-FR"/>
        </w:rPr>
        <w:t xml:space="preserve"> c. </w:t>
      </w:r>
      <w:bookmarkStart w:id="4" w:name="HIT20"/>
      <w:bookmarkEnd w:id="4"/>
      <w:r w:rsidRPr="00C724E8">
        <w:rPr>
          <w:rFonts w:ascii="Times New Roman" w:eastAsia="Times New Roman" w:hAnsi="Times New Roman" w:cs="Times New Roman"/>
          <w:i/>
          <w:szCs w:val="24"/>
          <w:lang w:val="fr-FR"/>
        </w:rPr>
        <w:t>Italie</w:t>
      </w:r>
      <w:r w:rsidRPr="009115A5">
        <w:rPr>
          <w:rFonts w:ascii="Times New Roman" w:eastAsia="Times New Roman" w:hAnsi="Times New Roman" w:cs="Times New Roman"/>
          <w:szCs w:val="24"/>
          <w:lang w:val="fr-FR"/>
        </w:rPr>
        <w:t xml:space="preserve"> [GC], </w:t>
      </w:r>
      <w:r>
        <w:rPr>
          <w:rFonts w:ascii="Times New Roman" w:eastAsia="Times New Roman" w:hAnsi="Times New Roman" w:cs="Times New Roman"/>
          <w:szCs w:val="24"/>
          <w:lang w:val="fr-FR"/>
        </w:rPr>
        <w:t>précité</w:t>
      </w:r>
      <w:r w:rsidRPr="009115A5">
        <w:rPr>
          <w:rFonts w:ascii="Times New Roman" w:eastAsia="Times New Roman" w:hAnsi="Times New Roman" w:cs="Times New Roman"/>
          <w:szCs w:val="24"/>
          <w:lang w:val="fr-FR"/>
        </w:rPr>
        <w:t xml:space="preserve">, </w:t>
      </w:r>
      <w:r w:rsidRPr="009115A5">
        <w:rPr>
          <w:rFonts w:ascii="Times New Roman" w:eastAsia="Times New Roman" w:hAnsi="Times New Roman" w:cs="Times New Roman"/>
          <w:szCs w:val="24"/>
          <w:lang w:val="fr-FR"/>
        </w:rPr>
        <w:lastRenderedPageBreak/>
        <w:t>§§</w:t>
      </w:r>
      <w:r w:rsidR="00F21895">
        <w:rPr>
          <w:rFonts w:ascii="Times New Roman" w:eastAsia="Times New Roman" w:hAnsi="Times New Roman" w:cs="Times New Roman"/>
          <w:szCs w:val="24"/>
          <w:lang w:val="fr-FR"/>
        </w:rPr>
        <w:t> </w:t>
      </w:r>
      <w:r w:rsidRPr="009115A5">
        <w:rPr>
          <w:rFonts w:ascii="Times New Roman" w:eastAsia="Times New Roman" w:hAnsi="Times New Roman" w:cs="Times New Roman"/>
          <w:szCs w:val="24"/>
          <w:lang w:val="fr-FR"/>
        </w:rPr>
        <w:t>125</w:t>
      </w:r>
      <w:r w:rsidR="00F21895">
        <w:rPr>
          <w:rFonts w:ascii="Times New Roman" w:eastAsia="Times New Roman" w:hAnsi="Times New Roman" w:cs="Times New Roman"/>
          <w:szCs w:val="24"/>
          <w:lang w:val="fr-FR"/>
        </w:rPr>
        <w:noBreakHyphen/>
      </w:r>
      <w:r w:rsidRPr="009115A5">
        <w:rPr>
          <w:rFonts w:ascii="Times New Roman" w:eastAsia="Times New Roman" w:hAnsi="Times New Roman" w:cs="Times New Roman"/>
          <w:szCs w:val="24"/>
          <w:lang w:val="fr-FR"/>
        </w:rPr>
        <w:t>131) et que le grief doit être rejeté conformément à l</w:t>
      </w:r>
      <w:r w:rsidR="00F21895">
        <w:rPr>
          <w:rFonts w:ascii="Times New Roman" w:eastAsia="Times New Roman" w:hAnsi="Times New Roman" w:cs="Times New Roman"/>
          <w:szCs w:val="24"/>
          <w:lang w:val="fr-FR"/>
        </w:rPr>
        <w:t>’</w:t>
      </w:r>
      <w:r w:rsidRPr="009115A5">
        <w:rPr>
          <w:rFonts w:ascii="Times New Roman" w:eastAsia="Times New Roman" w:hAnsi="Times New Roman" w:cs="Times New Roman"/>
          <w:szCs w:val="24"/>
          <w:lang w:val="fr-FR"/>
        </w:rPr>
        <w:t xml:space="preserve">article 35 §§ 3 </w:t>
      </w:r>
      <w:r>
        <w:rPr>
          <w:rFonts w:ascii="Times New Roman" w:eastAsia="Times New Roman" w:hAnsi="Times New Roman" w:cs="Times New Roman"/>
          <w:szCs w:val="24"/>
          <w:lang w:val="fr-FR"/>
        </w:rPr>
        <w:t xml:space="preserve">a) </w:t>
      </w:r>
      <w:r w:rsidRPr="009115A5">
        <w:rPr>
          <w:rFonts w:ascii="Times New Roman" w:eastAsia="Times New Roman" w:hAnsi="Times New Roman" w:cs="Times New Roman"/>
          <w:szCs w:val="24"/>
          <w:lang w:val="fr-FR"/>
        </w:rPr>
        <w:t>et 4 de la Convention.</w:t>
      </w:r>
    </w:p>
    <w:bookmarkEnd w:id="3"/>
    <w:p w:rsidR="006F453D" w:rsidRPr="003D01F1" w:rsidRDefault="006F453D" w:rsidP="00BA19BF">
      <w:pPr>
        <w:autoSpaceDE w:val="0"/>
        <w:autoSpaceDN w:val="0"/>
        <w:adjustRightInd w:val="0"/>
        <w:ind w:firstLine="284"/>
        <w:rPr>
          <w:rFonts w:ascii="Times New Roman" w:eastAsiaTheme="minorHAnsi" w:hAnsi="Times New Roman" w:cs="Times New Roman"/>
          <w:color w:val="000000"/>
          <w:szCs w:val="24"/>
          <w:lang w:val="fr-FR"/>
        </w:rPr>
      </w:pPr>
      <w:r>
        <w:rPr>
          <w:rFonts w:eastAsiaTheme="minorHAnsi"/>
          <w:lang w:val="fr-FR"/>
        </w:rPr>
        <w:t>40.  </w:t>
      </w:r>
      <w:r w:rsidRPr="00E93DA5">
        <w:rPr>
          <w:rFonts w:eastAsiaTheme="minorHAnsi"/>
          <w:lang w:val="fr-FR"/>
        </w:rPr>
        <w:t>Le requérant soutient que le contrôle de sa correspondance a méconnu le</w:t>
      </w:r>
      <w:r w:rsidRPr="003D01F1">
        <w:rPr>
          <w:rFonts w:ascii="Times New Roman" w:eastAsiaTheme="minorHAnsi" w:hAnsi="Times New Roman" w:cs="Times New Roman"/>
          <w:color w:val="000000"/>
          <w:szCs w:val="24"/>
          <w:lang w:val="fr-FR"/>
        </w:rPr>
        <w:t xml:space="preserve"> droit garanti à l</w:t>
      </w:r>
      <w:r w:rsidR="00F21895">
        <w:rPr>
          <w:rFonts w:ascii="Times New Roman" w:eastAsiaTheme="minorHAnsi" w:hAnsi="Times New Roman" w:cs="Times New Roman"/>
          <w:color w:val="000000"/>
          <w:szCs w:val="24"/>
          <w:lang w:val="fr-FR"/>
        </w:rPr>
        <w:t>’</w:t>
      </w:r>
      <w:r w:rsidRPr="003D01F1">
        <w:rPr>
          <w:rFonts w:ascii="Times New Roman" w:eastAsiaTheme="minorHAnsi" w:hAnsi="Times New Roman" w:cs="Times New Roman"/>
          <w:color w:val="000000"/>
          <w:szCs w:val="24"/>
          <w:lang w:val="fr-FR"/>
        </w:rPr>
        <w:t>article 8 de la Convention qui, dans ses parties pertinentes, dispose :</w:t>
      </w:r>
    </w:p>
    <w:p w:rsidR="006F453D" w:rsidRPr="003D01F1" w:rsidRDefault="006F453D" w:rsidP="008626FD">
      <w:pPr>
        <w:pStyle w:val="ECHRParaQuote"/>
        <w:rPr>
          <w:rFonts w:eastAsiaTheme="minorHAnsi"/>
          <w:lang w:val="fr-FR"/>
        </w:rPr>
      </w:pPr>
      <w:r w:rsidRPr="003D01F1">
        <w:rPr>
          <w:rFonts w:eastAsiaTheme="minorHAnsi"/>
          <w:lang w:val="fr-FR"/>
        </w:rPr>
        <w:t>« 1.  Toute personne a droit au respect (</w:t>
      </w:r>
      <w:r>
        <w:rPr>
          <w:rFonts w:eastAsiaTheme="minorHAnsi"/>
          <w:lang w:val="fr-FR"/>
        </w:rPr>
        <w:t>...</w:t>
      </w:r>
      <w:r w:rsidRPr="003D01F1">
        <w:rPr>
          <w:rFonts w:eastAsiaTheme="minorHAnsi"/>
          <w:lang w:val="fr-FR"/>
        </w:rPr>
        <w:t>) de sa correspondance.</w:t>
      </w:r>
    </w:p>
    <w:p w:rsidR="006F453D" w:rsidRPr="003D01F1" w:rsidRDefault="006F453D" w:rsidP="008626FD">
      <w:pPr>
        <w:pStyle w:val="ECHRParaQuote"/>
        <w:rPr>
          <w:rFonts w:eastAsiaTheme="minorHAnsi"/>
          <w:lang w:val="fr-FR"/>
        </w:rPr>
      </w:pPr>
      <w:r w:rsidRPr="003D01F1">
        <w:rPr>
          <w:rFonts w:eastAsiaTheme="minorHAnsi"/>
          <w:lang w:val="fr-FR"/>
        </w:rPr>
        <w:t>2.  Il ne peut y avoir ingérence d</w:t>
      </w:r>
      <w:r w:rsidR="00F21895">
        <w:rPr>
          <w:rFonts w:eastAsiaTheme="minorHAnsi"/>
          <w:lang w:val="fr-FR"/>
        </w:rPr>
        <w:t>’</w:t>
      </w:r>
      <w:r w:rsidRPr="003D01F1">
        <w:rPr>
          <w:rFonts w:eastAsiaTheme="minorHAnsi"/>
          <w:lang w:val="fr-FR"/>
        </w:rPr>
        <w:t>une autorité publique dans l</w:t>
      </w:r>
      <w:r w:rsidR="00F21895">
        <w:rPr>
          <w:rFonts w:eastAsiaTheme="minorHAnsi"/>
          <w:lang w:val="fr-FR"/>
        </w:rPr>
        <w:t>’</w:t>
      </w:r>
      <w:r w:rsidRPr="003D01F1">
        <w:rPr>
          <w:rFonts w:eastAsiaTheme="minorHAnsi"/>
          <w:lang w:val="fr-FR"/>
        </w:rPr>
        <w:t>exercice de ce droit que pour autant que cette ingérence est prévue par la loi et qu</w:t>
      </w:r>
      <w:r w:rsidR="00F21895">
        <w:rPr>
          <w:rFonts w:eastAsiaTheme="minorHAnsi"/>
          <w:lang w:val="fr-FR"/>
        </w:rPr>
        <w:t>’</w:t>
      </w:r>
      <w:r w:rsidRPr="003D01F1">
        <w:rPr>
          <w:rFonts w:eastAsiaTheme="minorHAnsi"/>
          <w:lang w:val="fr-FR"/>
        </w:rPr>
        <w:t xml:space="preserve">elle constitue une mesure qui, dans une société démocratique, est nécessaire (...) à la défense de l </w:t>
      </w:r>
      <w:r w:rsidR="00F21895">
        <w:rPr>
          <w:rFonts w:eastAsiaTheme="minorHAnsi"/>
          <w:lang w:val="fr-FR"/>
        </w:rPr>
        <w:t>‘</w:t>
      </w:r>
      <w:r w:rsidRPr="003D01F1">
        <w:rPr>
          <w:rFonts w:eastAsiaTheme="minorHAnsi"/>
          <w:lang w:val="fr-FR"/>
        </w:rPr>
        <w:t>ordre et à la prévention des infractions pénales (...) »</w:t>
      </w:r>
    </w:p>
    <w:p w:rsidR="006F453D" w:rsidRPr="003D01F1" w:rsidRDefault="006F453D" w:rsidP="00BA19BF">
      <w:pPr>
        <w:pStyle w:val="ECHRPara"/>
        <w:rPr>
          <w:rFonts w:eastAsiaTheme="minorHAnsi"/>
          <w:lang w:val="fr-FR"/>
        </w:rPr>
      </w:pPr>
      <w:r>
        <w:rPr>
          <w:rFonts w:eastAsiaTheme="minorHAnsi"/>
          <w:lang w:val="fr-FR"/>
        </w:rPr>
        <w:t>41.  </w:t>
      </w:r>
      <w:r w:rsidRPr="003D01F1">
        <w:rPr>
          <w:rFonts w:eastAsiaTheme="minorHAnsi"/>
          <w:lang w:val="fr-FR"/>
        </w:rPr>
        <w:t xml:space="preserve">Le Gouvernement rappelle </w:t>
      </w:r>
      <w:r>
        <w:rPr>
          <w:rFonts w:eastAsiaTheme="minorHAnsi"/>
          <w:lang w:val="fr-FR"/>
        </w:rPr>
        <w:t>d</w:t>
      </w:r>
      <w:r w:rsidR="00F21895">
        <w:rPr>
          <w:rFonts w:eastAsiaTheme="minorHAnsi"/>
          <w:lang w:val="fr-FR"/>
        </w:rPr>
        <w:t>’</w:t>
      </w:r>
      <w:r>
        <w:rPr>
          <w:rFonts w:eastAsiaTheme="minorHAnsi"/>
          <w:lang w:val="fr-FR"/>
        </w:rPr>
        <w:t xml:space="preserve">abord </w:t>
      </w:r>
      <w:r w:rsidRPr="003D01F1">
        <w:rPr>
          <w:rFonts w:eastAsiaTheme="minorHAnsi"/>
          <w:lang w:val="fr-FR"/>
        </w:rPr>
        <w:t xml:space="preserve">que le contrôle </w:t>
      </w:r>
      <w:r>
        <w:rPr>
          <w:rFonts w:eastAsiaTheme="minorHAnsi"/>
          <w:lang w:val="fr-FR"/>
        </w:rPr>
        <w:t xml:space="preserve">en question </w:t>
      </w:r>
      <w:r w:rsidRPr="003D01F1">
        <w:rPr>
          <w:rFonts w:eastAsiaTheme="minorHAnsi"/>
          <w:lang w:val="fr-FR"/>
        </w:rPr>
        <w:t>a été ordonné en application de l</w:t>
      </w:r>
      <w:r w:rsidR="00F21895">
        <w:rPr>
          <w:rFonts w:eastAsiaTheme="minorHAnsi"/>
          <w:lang w:val="fr-FR"/>
        </w:rPr>
        <w:t>’</w:t>
      </w:r>
      <w:r w:rsidRPr="003D01F1">
        <w:rPr>
          <w:rFonts w:eastAsiaTheme="minorHAnsi"/>
          <w:lang w:val="fr-FR"/>
        </w:rPr>
        <w:t>article 18 de la loi sur l</w:t>
      </w:r>
      <w:r w:rsidR="00F21895">
        <w:rPr>
          <w:rFonts w:eastAsiaTheme="minorHAnsi"/>
          <w:lang w:val="fr-FR"/>
        </w:rPr>
        <w:t>’</w:t>
      </w:r>
      <w:r w:rsidRPr="003D01F1">
        <w:rPr>
          <w:rFonts w:eastAsiaTheme="minorHAnsi"/>
          <w:lang w:val="fr-FR"/>
        </w:rPr>
        <w:t>administration pénitentiaire. Il souligne que la Cour a déjà estimé que cette disposition ne constituait pas une base juridique suffisante aux termes de la Convention, car elle n</w:t>
      </w:r>
      <w:r w:rsidR="00F21895">
        <w:rPr>
          <w:rFonts w:eastAsiaTheme="minorHAnsi"/>
          <w:lang w:val="fr-FR"/>
        </w:rPr>
        <w:t>’</w:t>
      </w:r>
      <w:r w:rsidRPr="003D01F1">
        <w:rPr>
          <w:rFonts w:eastAsiaTheme="minorHAnsi"/>
          <w:lang w:val="fr-FR"/>
        </w:rPr>
        <w:t>ind</w:t>
      </w:r>
      <w:r>
        <w:rPr>
          <w:rFonts w:eastAsiaTheme="minorHAnsi"/>
          <w:lang w:val="fr-FR"/>
        </w:rPr>
        <w:t xml:space="preserve">iquait ni la durée du contrôle, </w:t>
      </w:r>
      <w:r w:rsidRPr="003D01F1">
        <w:rPr>
          <w:rFonts w:eastAsiaTheme="minorHAnsi"/>
          <w:lang w:val="fr-FR"/>
        </w:rPr>
        <w:t>ni les motifs pouvant le justifier, ni l</w:t>
      </w:r>
      <w:r w:rsidR="00F21895">
        <w:rPr>
          <w:rFonts w:eastAsiaTheme="minorHAnsi"/>
          <w:lang w:val="fr-FR"/>
        </w:rPr>
        <w:t>’</w:t>
      </w:r>
      <w:r w:rsidRPr="003D01F1">
        <w:rPr>
          <w:rFonts w:eastAsiaTheme="minorHAnsi"/>
          <w:lang w:val="fr-FR"/>
        </w:rPr>
        <w:t>étendue et les modalités d</w:t>
      </w:r>
      <w:r w:rsidR="00F21895">
        <w:rPr>
          <w:rFonts w:eastAsiaTheme="minorHAnsi"/>
          <w:lang w:val="fr-FR"/>
        </w:rPr>
        <w:t>’</w:t>
      </w:r>
      <w:r w:rsidRPr="003D01F1">
        <w:rPr>
          <w:rFonts w:eastAsiaTheme="minorHAnsi"/>
          <w:lang w:val="fr-FR"/>
        </w:rPr>
        <w:t>exercice du pouvoir d</w:t>
      </w:r>
      <w:r w:rsidR="00F21895">
        <w:rPr>
          <w:rFonts w:eastAsiaTheme="minorHAnsi"/>
          <w:lang w:val="fr-FR"/>
        </w:rPr>
        <w:t>’</w:t>
      </w:r>
      <w:r w:rsidRPr="003D01F1">
        <w:rPr>
          <w:rFonts w:eastAsiaTheme="minorHAnsi"/>
          <w:lang w:val="fr-FR"/>
        </w:rPr>
        <w:t xml:space="preserve">appréciation des autorités compétentes. Cette situation a été profondément </w:t>
      </w:r>
      <w:r>
        <w:rPr>
          <w:rFonts w:eastAsiaTheme="minorHAnsi"/>
          <w:lang w:val="fr-FR"/>
        </w:rPr>
        <w:t>modifiée en 2004, avec la loi n</w:t>
      </w:r>
      <w:r w:rsidRPr="00644409">
        <w:rPr>
          <w:rFonts w:eastAsiaTheme="minorHAnsi"/>
          <w:vertAlign w:val="superscript"/>
          <w:lang w:val="fr-FR"/>
        </w:rPr>
        <w:t>o</w:t>
      </w:r>
      <w:r w:rsidRPr="003D01F1">
        <w:rPr>
          <w:rFonts w:eastAsiaTheme="minorHAnsi"/>
          <w:lang w:val="fr-FR"/>
        </w:rPr>
        <w:t xml:space="preserve"> 95 du 8 avril 2004. Il demande à la Cour de reconsidérer sa jurisprudence et d</w:t>
      </w:r>
      <w:r w:rsidR="00F21895">
        <w:rPr>
          <w:rFonts w:eastAsiaTheme="minorHAnsi"/>
          <w:lang w:val="fr-FR"/>
        </w:rPr>
        <w:t>’</w:t>
      </w:r>
      <w:r w:rsidRPr="003D01F1">
        <w:rPr>
          <w:rFonts w:eastAsiaTheme="minorHAnsi"/>
          <w:lang w:val="fr-FR"/>
        </w:rPr>
        <w:t>affirmer qu</w:t>
      </w:r>
      <w:r w:rsidR="00F21895">
        <w:rPr>
          <w:rFonts w:eastAsiaTheme="minorHAnsi"/>
          <w:lang w:val="fr-FR"/>
        </w:rPr>
        <w:t>’</w:t>
      </w:r>
      <w:r w:rsidRPr="003D01F1">
        <w:rPr>
          <w:rFonts w:eastAsiaTheme="minorHAnsi"/>
          <w:lang w:val="fr-FR"/>
        </w:rPr>
        <w:t>en l</w:t>
      </w:r>
      <w:r w:rsidR="00F21895">
        <w:rPr>
          <w:rFonts w:eastAsiaTheme="minorHAnsi"/>
          <w:lang w:val="fr-FR"/>
        </w:rPr>
        <w:t>’</w:t>
      </w:r>
      <w:r w:rsidRPr="003D01F1">
        <w:rPr>
          <w:rFonts w:eastAsiaTheme="minorHAnsi"/>
          <w:lang w:val="fr-FR"/>
        </w:rPr>
        <w:t>espèce, ledit contrôle était « prévu par la loi » et n</w:t>
      </w:r>
      <w:r w:rsidR="00F21895">
        <w:rPr>
          <w:rFonts w:eastAsiaTheme="minorHAnsi"/>
          <w:lang w:val="fr-FR"/>
        </w:rPr>
        <w:t>’</w:t>
      </w:r>
      <w:r w:rsidRPr="003D01F1">
        <w:rPr>
          <w:rFonts w:eastAsiaTheme="minorHAnsi"/>
          <w:lang w:val="fr-FR"/>
        </w:rPr>
        <w:t>a pas enfreint la Convention.</w:t>
      </w:r>
    </w:p>
    <w:p w:rsidR="006F453D" w:rsidRDefault="006F453D" w:rsidP="00BA19BF">
      <w:pPr>
        <w:pStyle w:val="ECHRPara"/>
        <w:rPr>
          <w:rFonts w:eastAsiaTheme="minorHAnsi"/>
          <w:lang w:val="fr-FR"/>
        </w:rPr>
      </w:pPr>
      <w:r>
        <w:rPr>
          <w:rFonts w:eastAsiaTheme="minorHAnsi"/>
          <w:lang w:val="fr-FR"/>
        </w:rPr>
        <w:t>42.  </w:t>
      </w:r>
      <w:r w:rsidRPr="003D01F1">
        <w:rPr>
          <w:rFonts w:eastAsiaTheme="minorHAnsi"/>
          <w:lang w:val="fr-FR"/>
        </w:rPr>
        <w:t>Ens</w:t>
      </w:r>
      <w:r>
        <w:rPr>
          <w:rFonts w:eastAsiaTheme="minorHAnsi"/>
          <w:lang w:val="fr-FR"/>
        </w:rPr>
        <w:t>uite</w:t>
      </w:r>
      <w:r w:rsidRPr="003D01F1">
        <w:rPr>
          <w:rFonts w:eastAsiaTheme="minorHAnsi"/>
          <w:lang w:val="fr-FR"/>
        </w:rPr>
        <w:t xml:space="preserve">, le Gouvernement </w:t>
      </w:r>
      <w:r>
        <w:rPr>
          <w:rFonts w:eastAsiaTheme="minorHAnsi"/>
          <w:lang w:val="fr-FR"/>
        </w:rPr>
        <w:t>note que, q</w:t>
      </w:r>
      <w:r w:rsidRPr="003D01F1">
        <w:rPr>
          <w:rFonts w:eastAsiaTheme="minorHAnsi"/>
          <w:lang w:val="fr-FR"/>
        </w:rPr>
        <w:t>uant à la correspondance échangée entre le requérant et la Cour avant 2004, le requérant a envoyé à la Cour deux groupes de documents portant le tampon « cachet de contrôle » des établissements pénitentiaires : le premier groupe est annexé au formulaire de requête, le deuxième a été envoyé par un co</w:t>
      </w:r>
      <w:r>
        <w:rPr>
          <w:rFonts w:eastAsiaTheme="minorHAnsi"/>
          <w:lang w:val="fr-FR"/>
        </w:rPr>
        <w:t>urrier daté du 22 août 2005.</w:t>
      </w:r>
    </w:p>
    <w:p w:rsidR="006F453D" w:rsidRDefault="006F453D" w:rsidP="00BA19BF">
      <w:pPr>
        <w:pStyle w:val="ECHRPara"/>
        <w:rPr>
          <w:rFonts w:eastAsiaTheme="minorHAnsi"/>
          <w:b/>
          <w:lang w:val="fr-FR"/>
        </w:rPr>
      </w:pPr>
      <w:r>
        <w:rPr>
          <w:rFonts w:eastAsiaTheme="minorHAnsi"/>
          <w:lang w:val="fr-FR"/>
        </w:rPr>
        <w:t>43.  Il souligne</w:t>
      </w:r>
      <w:r w:rsidRPr="003D01F1">
        <w:rPr>
          <w:rFonts w:eastAsiaTheme="minorHAnsi"/>
          <w:lang w:val="fr-FR"/>
        </w:rPr>
        <w:t xml:space="preserve"> qu</w:t>
      </w:r>
      <w:r w:rsidR="00F21895">
        <w:rPr>
          <w:rFonts w:eastAsiaTheme="minorHAnsi"/>
          <w:lang w:val="fr-FR"/>
        </w:rPr>
        <w:t>’</w:t>
      </w:r>
      <w:r w:rsidRPr="003D01F1">
        <w:rPr>
          <w:rFonts w:eastAsiaTheme="minorHAnsi"/>
          <w:lang w:val="fr-FR"/>
        </w:rPr>
        <w:t>aucun de ces groupes de documents ne contient les enveloppes dans lesquelles le courrier a été envoyé par l</w:t>
      </w:r>
      <w:r>
        <w:rPr>
          <w:rFonts w:eastAsiaTheme="minorHAnsi"/>
          <w:lang w:val="fr-FR"/>
        </w:rPr>
        <w:t xml:space="preserve">e requérant ou reçu par lui. Il </w:t>
      </w:r>
      <w:r w:rsidRPr="003D01F1">
        <w:rPr>
          <w:rFonts w:eastAsiaTheme="minorHAnsi"/>
          <w:lang w:val="fr-FR"/>
        </w:rPr>
        <w:t>est donc impossible de dire qui était le destinataire ou l</w:t>
      </w:r>
      <w:r w:rsidR="00F21895">
        <w:rPr>
          <w:rFonts w:eastAsiaTheme="minorHAnsi"/>
          <w:lang w:val="fr-FR"/>
        </w:rPr>
        <w:t>’</w:t>
      </w:r>
      <w:r w:rsidRPr="003D01F1">
        <w:rPr>
          <w:rFonts w:eastAsiaTheme="minorHAnsi"/>
          <w:lang w:val="fr-FR"/>
        </w:rPr>
        <w:t>expéditeur des plis qui les contenaient.</w:t>
      </w:r>
      <w:r>
        <w:rPr>
          <w:rFonts w:eastAsiaTheme="minorHAnsi"/>
          <w:lang w:val="fr-FR"/>
        </w:rPr>
        <w:t xml:space="preserve"> De plus,</w:t>
      </w:r>
      <w:r w:rsidRPr="003D01F1">
        <w:rPr>
          <w:rFonts w:eastAsiaTheme="minorHAnsi"/>
          <w:lang w:val="fr-FR"/>
        </w:rPr>
        <w:t xml:space="preserve"> les documents du premier groupe portent un cachet sans date, ce qui ne permet pas de déterminer quand ces documents ont été soumis au contrôle</w:t>
      </w:r>
      <w:r w:rsidRPr="003F1EED">
        <w:rPr>
          <w:rFonts w:eastAsiaTheme="minorHAnsi"/>
          <w:b/>
          <w:lang w:val="fr-FR"/>
        </w:rPr>
        <w:t>.</w:t>
      </w:r>
    </w:p>
    <w:p w:rsidR="006F453D" w:rsidRPr="003D01F1" w:rsidRDefault="006F453D" w:rsidP="00BA19BF">
      <w:pPr>
        <w:pStyle w:val="ECHRPara"/>
        <w:rPr>
          <w:rFonts w:eastAsiaTheme="minorHAnsi"/>
          <w:lang w:val="fr-FR"/>
        </w:rPr>
      </w:pPr>
      <w:r>
        <w:rPr>
          <w:rFonts w:eastAsiaTheme="minorHAnsi"/>
          <w:lang w:val="fr-FR"/>
        </w:rPr>
        <w:t>44.  </w:t>
      </w:r>
      <w:r w:rsidRPr="003D01F1">
        <w:rPr>
          <w:rFonts w:eastAsiaTheme="minorHAnsi"/>
          <w:lang w:val="fr-FR"/>
        </w:rPr>
        <w:t>La Cour constate qu</w:t>
      </w:r>
      <w:r w:rsidR="00F21895">
        <w:rPr>
          <w:rFonts w:eastAsiaTheme="minorHAnsi"/>
          <w:lang w:val="fr-FR"/>
        </w:rPr>
        <w:t>’</w:t>
      </w:r>
      <w:r w:rsidRPr="003D01F1">
        <w:rPr>
          <w:rFonts w:eastAsiaTheme="minorHAnsi"/>
          <w:lang w:val="fr-FR"/>
        </w:rPr>
        <w:t>en ce qui concerne la correspondance du requérant en général, il y a eu « ingérence d</w:t>
      </w:r>
      <w:r w:rsidR="00F21895">
        <w:rPr>
          <w:rFonts w:eastAsiaTheme="minorHAnsi"/>
          <w:lang w:val="fr-FR"/>
        </w:rPr>
        <w:t>’</w:t>
      </w:r>
      <w:r w:rsidRPr="003D01F1">
        <w:rPr>
          <w:rFonts w:eastAsiaTheme="minorHAnsi"/>
          <w:lang w:val="fr-FR"/>
        </w:rPr>
        <w:t>une autorité publique » dans l</w:t>
      </w:r>
      <w:r w:rsidR="00F21895">
        <w:rPr>
          <w:rFonts w:eastAsiaTheme="minorHAnsi"/>
          <w:lang w:val="fr-FR"/>
        </w:rPr>
        <w:t>’</w:t>
      </w:r>
      <w:r w:rsidRPr="003D01F1">
        <w:rPr>
          <w:rFonts w:eastAsiaTheme="minorHAnsi"/>
          <w:lang w:val="fr-FR"/>
        </w:rPr>
        <w:t>exercice du droit du requérant au respect de sa correspondance garanti par l</w:t>
      </w:r>
      <w:r w:rsidR="00F21895">
        <w:rPr>
          <w:rFonts w:eastAsiaTheme="minorHAnsi"/>
          <w:lang w:val="fr-FR"/>
        </w:rPr>
        <w:t>’</w:t>
      </w:r>
      <w:r w:rsidRPr="003D01F1">
        <w:rPr>
          <w:rFonts w:eastAsiaTheme="minorHAnsi"/>
          <w:lang w:val="fr-FR"/>
        </w:rPr>
        <w:t>article 8 § 1 de la Convention. Pareille ingérence méconnaît cette disposition sauf si, «</w:t>
      </w:r>
      <w:r>
        <w:rPr>
          <w:rFonts w:eastAsiaTheme="minorHAnsi"/>
          <w:lang w:val="fr-FR"/>
        </w:rPr>
        <w:t> </w:t>
      </w:r>
      <w:r w:rsidRPr="003D01F1">
        <w:rPr>
          <w:rFonts w:eastAsiaTheme="minorHAnsi"/>
          <w:lang w:val="fr-FR"/>
        </w:rPr>
        <w:t>prévue par la loi », elle poursuit un ou des buts légitimes au regard du paragraphe 2 et, de plus, est « nécessaire, dans une société démocratique » pour les atteindre (</w:t>
      </w:r>
      <w:r w:rsidRPr="003D01F1">
        <w:rPr>
          <w:rFonts w:eastAsiaTheme="minorHAnsi"/>
          <w:i/>
          <w:iCs/>
          <w:lang w:val="fr-FR"/>
        </w:rPr>
        <w:t>Calogero Diana</w:t>
      </w:r>
      <w:r w:rsidRPr="003D01F1">
        <w:rPr>
          <w:rFonts w:eastAsiaTheme="minorHAnsi"/>
          <w:lang w:val="fr-FR"/>
        </w:rPr>
        <w:t xml:space="preserve"> </w:t>
      </w:r>
      <w:r w:rsidRPr="003D01F1">
        <w:rPr>
          <w:rFonts w:eastAsiaTheme="minorHAnsi"/>
          <w:i/>
          <w:iCs/>
          <w:lang w:val="fr-FR"/>
        </w:rPr>
        <w:t>c. Italie</w:t>
      </w:r>
      <w:r w:rsidRPr="003D01F1">
        <w:rPr>
          <w:rFonts w:eastAsiaTheme="minorHAnsi"/>
          <w:lang w:val="fr-FR"/>
        </w:rPr>
        <w:t xml:space="preserve">, arrêt du 15 novembre 1996, </w:t>
      </w:r>
      <w:r w:rsidRPr="003D01F1">
        <w:rPr>
          <w:rFonts w:eastAsiaTheme="minorHAnsi"/>
          <w:i/>
          <w:iCs/>
          <w:lang w:val="fr-FR"/>
        </w:rPr>
        <w:t>Recueil des arrêts et décisions</w:t>
      </w:r>
      <w:r w:rsidRPr="003D01F1">
        <w:rPr>
          <w:rFonts w:eastAsiaTheme="minorHAnsi"/>
          <w:lang w:val="fr-FR"/>
        </w:rPr>
        <w:t xml:space="preserve"> 1996-V, § 28; </w:t>
      </w:r>
      <w:proofErr w:type="spellStart"/>
      <w:r w:rsidRPr="003D01F1">
        <w:rPr>
          <w:rFonts w:eastAsiaTheme="minorHAnsi"/>
          <w:i/>
          <w:iCs/>
          <w:lang w:val="fr-FR"/>
        </w:rPr>
        <w:t>Domenichini</w:t>
      </w:r>
      <w:proofErr w:type="spellEnd"/>
      <w:r w:rsidRPr="003D01F1">
        <w:rPr>
          <w:rFonts w:eastAsiaTheme="minorHAnsi"/>
          <w:lang w:val="fr-FR"/>
        </w:rPr>
        <w:t xml:space="preserve"> </w:t>
      </w:r>
      <w:r w:rsidRPr="003D01F1">
        <w:rPr>
          <w:rFonts w:eastAsiaTheme="minorHAnsi"/>
          <w:i/>
          <w:iCs/>
          <w:lang w:val="fr-FR"/>
        </w:rPr>
        <w:t>c. Italie</w:t>
      </w:r>
      <w:r w:rsidRPr="003D01F1">
        <w:rPr>
          <w:rFonts w:eastAsiaTheme="minorHAnsi"/>
          <w:lang w:val="fr-FR"/>
        </w:rPr>
        <w:t xml:space="preserve">, arrêt du 15 novembre 1996, </w:t>
      </w:r>
      <w:r w:rsidRPr="003D01F1">
        <w:rPr>
          <w:rFonts w:eastAsiaTheme="minorHAnsi"/>
          <w:i/>
          <w:iCs/>
          <w:lang w:val="fr-FR"/>
        </w:rPr>
        <w:t>Recueil</w:t>
      </w:r>
      <w:r w:rsidRPr="003D01F1">
        <w:rPr>
          <w:rFonts w:eastAsiaTheme="minorHAnsi"/>
          <w:lang w:val="fr-FR"/>
        </w:rPr>
        <w:t xml:space="preserve"> 1996-V, § 28; </w:t>
      </w:r>
      <w:r w:rsidRPr="003D01F1">
        <w:rPr>
          <w:rFonts w:eastAsiaTheme="minorHAnsi"/>
          <w:i/>
          <w:iCs/>
          <w:lang w:val="fr-FR"/>
        </w:rPr>
        <w:t>Petra</w:t>
      </w:r>
      <w:r w:rsidRPr="003D01F1">
        <w:rPr>
          <w:rFonts w:eastAsiaTheme="minorHAnsi"/>
          <w:lang w:val="fr-FR"/>
        </w:rPr>
        <w:t xml:space="preserve"> </w:t>
      </w:r>
      <w:r w:rsidRPr="003D01F1">
        <w:rPr>
          <w:rFonts w:eastAsiaTheme="minorHAnsi"/>
          <w:i/>
          <w:iCs/>
          <w:lang w:val="fr-FR"/>
        </w:rPr>
        <w:t>c. Roumanie</w:t>
      </w:r>
      <w:r w:rsidRPr="003D01F1">
        <w:rPr>
          <w:rFonts w:eastAsiaTheme="minorHAnsi"/>
          <w:lang w:val="fr-FR"/>
        </w:rPr>
        <w:t>, arrêt du 23</w:t>
      </w:r>
      <w:r>
        <w:rPr>
          <w:rFonts w:eastAsiaTheme="minorHAnsi"/>
          <w:lang w:val="fr-FR"/>
        </w:rPr>
        <w:t> </w:t>
      </w:r>
      <w:r w:rsidRPr="003D01F1">
        <w:rPr>
          <w:rFonts w:eastAsiaTheme="minorHAnsi"/>
          <w:lang w:val="fr-FR"/>
        </w:rPr>
        <w:t xml:space="preserve">septembre 1998, </w:t>
      </w:r>
      <w:r w:rsidRPr="003D01F1">
        <w:rPr>
          <w:rFonts w:eastAsiaTheme="minorHAnsi"/>
          <w:i/>
          <w:iCs/>
          <w:lang w:val="fr-FR"/>
        </w:rPr>
        <w:t>Recueil</w:t>
      </w:r>
      <w:r w:rsidRPr="003D01F1">
        <w:rPr>
          <w:rFonts w:eastAsiaTheme="minorHAnsi"/>
          <w:lang w:val="fr-FR"/>
        </w:rPr>
        <w:t xml:space="preserve"> 1998-VII, p. 2853, § 36; </w:t>
      </w:r>
      <w:proofErr w:type="spellStart"/>
      <w:r w:rsidRPr="003D01F1">
        <w:rPr>
          <w:rFonts w:eastAsiaTheme="minorHAnsi"/>
          <w:i/>
          <w:iCs/>
          <w:lang w:val="fr-FR"/>
        </w:rPr>
        <w:t>Labita</w:t>
      </w:r>
      <w:proofErr w:type="spellEnd"/>
      <w:r w:rsidRPr="003D01F1">
        <w:rPr>
          <w:rFonts w:eastAsiaTheme="minorHAnsi"/>
          <w:lang w:val="fr-FR"/>
        </w:rPr>
        <w:t xml:space="preserve"> précité, § 179 ; </w:t>
      </w:r>
      <w:proofErr w:type="spellStart"/>
      <w:r w:rsidRPr="003D01F1">
        <w:rPr>
          <w:rFonts w:eastAsiaTheme="minorHAnsi"/>
          <w:i/>
          <w:iCs/>
          <w:lang w:val="fr-FR"/>
        </w:rPr>
        <w:t>Musumeci</w:t>
      </w:r>
      <w:proofErr w:type="spellEnd"/>
      <w:r>
        <w:rPr>
          <w:rFonts w:eastAsiaTheme="minorHAnsi"/>
          <w:lang w:val="fr-FR"/>
        </w:rPr>
        <w:t xml:space="preserve"> c. Italie, n</w:t>
      </w:r>
      <w:r w:rsidRPr="00644409">
        <w:rPr>
          <w:rFonts w:eastAsiaTheme="minorHAnsi"/>
          <w:vertAlign w:val="superscript"/>
          <w:lang w:val="fr-FR"/>
        </w:rPr>
        <w:t>o</w:t>
      </w:r>
      <w:r w:rsidRPr="003D01F1">
        <w:rPr>
          <w:rFonts w:eastAsiaTheme="minorHAnsi"/>
          <w:lang w:val="fr-FR"/>
        </w:rPr>
        <w:t xml:space="preserve"> 33695/96, § 56, arrêt du 11 janvier 2005).</w:t>
      </w:r>
    </w:p>
    <w:p w:rsidR="006F453D" w:rsidRPr="003D01F1" w:rsidRDefault="006F453D" w:rsidP="00BA19BF">
      <w:pPr>
        <w:pStyle w:val="ECHRPara"/>
        <w:rPr>
          <w:rFonts w:eastAsiaTheme="minorHAnsi"/>
          <w:lang w:val="fr-FR"/>
        </w:rPr>
      </w:pPr>
      <w:r>
        <w:rPr>
          <w:rFonts w:eastAsiaTheme="minorHAnsi"/>
          <w:lang w:val="fr-FR"/>
        </w:rPr>
        <w:lastRenderedPageBreak/>
        <w:t>45.  </w:t>
      </w:r>
      <w:r w:rsidRPr="003D01F1">
        <w:rPr>
          <w:rFonts w:eastAsiaTheme="minorHAnsi"/>
          <w:lang w:val="fr-FR"/>
        </w:rPr>
        <w:t>Avant le 15 avril 2004, le contrôle de la correspondance du requérant a été effectué conformément à l</w:t>
      </w:r>
      <w:r w:rsidR="00F21895">
        <w:rPr>
          <w:rFonts w:eastAsiaTheme="minorHAnsi"/>
          <w:lang w:val="fr-FR"/>
        </w:rPr>
        <w:t>’</w:t>
      </w:r>
      <w:r w:rsidRPr="003D01F1">
        <w:rPr>
          <w:rFonts w:eastAsiaTheme="minorHAnsi"/>
          <w:lang w:val="fr-FR"/>
        </w:rPr>
        <w:t>article 18 de la loi sur l</w:t>
      </w:r>
      <w:r w:rsidR="00F21895">
        <w:rPr>
          <w:rFonts w:eastAsiaTheme="minorHAnsi"/>
          <w:lang w:val="fr-FR"/>
        </w:rPr>
        <w:t>’</w:t>
      </w:r>
      <w:r w:rsidRPr="003D01F1">
        <w:rPr>
          <w:rFonts w:eastAsiaTheme="minorHAnsi"/>
          <w:lang w:val="fr-FR"/>
        </w:rPr>
        <w:t>administration pénitentiaire. La Cour a déjà jugé à maintes reprises que le contrôle de correspondance fondé sur cette disposition méconnaissait l</w:t>
      </w:r>
      <w:r w:rsidR="00F21895">
        <w:rPr>
          <w:rFonts w:eastAsiaTheme="minorHAnsi"/>
          <w:lang w:val="fr-FR"/>
        </w:rPr>
        <w:t>’</w:t>
      </w:r>
      <w:r w:rsidRPr="003D01F1">
        <w:rPr>
          <w:rFonts w:eastAsiaTheme="minorHAnsi"/>
          <w:lang w:val="fr-FR"/>
        </w:rPr>
        <w:t>article 8 de la Convention car il n</w:t>
      </w:r>
      <w:r w:rsidR="00F21895">
        <w:rPr>
          <w:rFonts w:eastAsiaTheme="minorHAnsi"/>
          <w:lang w:val="fr-FR"/>
        </w:rPr>
        <w:t>’</w:t>
      </w:r>
      <w:r w:rsidRPr="003D01F1">
        <w:rPr>
          <w:rFonts w:eastAsiaTheme="minorHAnsi"/>
          <w:lang w:val="fr-FR"/>
        </w:rPr>
        <w:t>était pas « prévu par la loi » dans la mesure où il ne réglementait ni la durée des mesures de contrôle de la correspondance des détenus, ni les motifs pouvant les justifier, et n</w:t>
      </w:r>
      <w:r w:rsidR="00F21895">
        <w:rPr>
          <w:rFonts w:eastAsiaTheme="minorHAnsi"/>
          <w:lang w:val="fr-FR"/>
        </w:rPr>
        <w:t>’</w:t>
      </w:r>
      <w:r w:rsidRPr="003D01F1">
        <w:rPr>
          <w:rFonts w:eastAsiaTheme="minorHAnsi"/>
          <w:lang w:val="fr-FR"/>
        </w:rPr>
        <w:t>indiquait pas avec assez de clarté l</w:t>
      </w:r>
      <w:r w:rsidR="00F21895">
        <w:rPr>
          <w:rFonts w:eastAsiaTheme="minorHAnsi"/>
          <w:lang w:val="fr-FR"/>
        </w:rPr>
        <w:t>’</w:t>
      </w:r>
      <w:r w:rsidRPr="003D01F1">
        <w:rPr>
          <w:rFonts w:eastAsiaTheme="minorHAnsi"/>
          <w:lang w:val="fr-FR"/>
        </w:rPr>
        <w:t>étendue et les modalités d</w:t>
      </w:r>
      <w:r w:rsidR="00F21895">
        <w:rPr>
          <w:rFonts w:eastAsiaTheme="minorHAnsi"/>
          <w:lang w:val="fr-FR"/>
        </w:rPr>
        <w:t>’</w:t>
      </w:r>
      <w:r w:rsidRPr="003D01F1">
        <w:rPr>
          <w:rFonts w:eastAsiaTheme="minorHAnsi"/>
          <w:lang w:val="fr-FR"/>
        </w:rPr>
        <w:t>exercice du pouvoir d</w:t>
      </w:r>
      <w:r w:rsidR="00F21895">
        <w:rPr>
          <w:rFonts w:eastAsiaTheme="minorHAnsi"/>
          <w:lang w:val="fr-FR"/>
        </w:rPr>
        <w:t>’</w:t>
      </w:r>
      <w:r w:rsidRPr="003D01F1">
        <w:rPr>
          <w:rFonts w:eastAsiaTheme="minorHAnsi"/>
          <w:lang w:val="fr-FR"/>
        </w:rPr>
        <w:t xml:space="preserve">appréciation des autorités compétentes dans le domaine considéré (voir, entre autres, les arrêts </w:t>
      </w:r>
      <w:proofErr w:type="spellStart"/>
      <w:r w:rsidRPr="003D01F1">
        <w:rPr>
          <w:rFonts w:eastAsiaTheme="minorHAnsi"/>
          <w:i/>
          <w:iCs/>
          <w:lang w:val="fr-FR"/>
        </w:rPr>
        <w:t>Labita</w:t>
      </w:r>
      <w:proofErr w:type="spellEnd"/>
      <w:r w:rsidRPr="003D01F1">
        <w:rPr>
          <w:rFonts w:eastAsiaTheme="minorHAnsi"/>
          <w:lang w:val="fr-FR"/>
        </w:rPr>
        <w:t xml:space="preserve"> </w:t>
      </w:r>
      <w:r w:rsidRPr="000B3970">
        <w:rPr>
          <w:rFonts w:eastAsiaTheme="minorHAnsi"/>
          <w:i/>
          <w:lang w:val="fr-FR"/>
        </w:rPr>
        <w:t>c. Italie</w:t>
      </w:r>
      <w:r w:rsidRPr="003D01F1">
        <w:rPr>
          <w:rFonts w:eastAsiaTheme="minorHAnsi"/>
          <w:lang w:val="fr-FR"/>
        </w:rPr>
        <w:t xml:space="preserve">, précité, §§ 175-185, et </w:t>
      </w:r>
      <w:r w:rsidRPr="003D01F1">
        <w:rPr>
          <w:rFonts w:eastAsiaTheme="minorHAnsi"/>
          <w:i/>
          <w:iCs/>
          <w:lang w:val="fr-FR"/>
        </w:rPr>
        <w:t>Calogero Diana</w:t>
      </w:r>
      <w:r w:rsidRPr="003D01F1">
        <w:rPr>
          <w:rFonts w:eastAsiaTheme="minorHAnsi"/>
          <w:lang w:val="fr-FR"/>
        </w:rPr>
        <w:t xml:space="preserve"> c. Italie, précité, § 33). En l</w:t>
      </w:r>
      <w:r w:rsidR="00F21895">
        <w:rPr>
          <w:rFonts w:eastAsiaTheme="minorHAnsi"/>
          <w:lang w:val="fr-FR"/>
        </w:rPr>
        <w:t>’</w:t>
      </w:r>
      <w:r w:rsidRPr="003D01F1">
        <w:rPr>
          <w:rFonts w:eastAsiaTheme="minorHAnsi"/>
          <w:lang w:val="fr-FR"/>
        </w:rPr>
        <w:t>espèce, la Cour observe que l</w:t>
      </w:r>
      <w:r w:rsidR="00F21895">
        <w:rPr>
          <w:rFonts w:eastAsiaTheme="minorHAnsi"/>
          <w:lang w:val="fr-FR"/>
        </w:rPr>
        <w:t>’</w:t>
      </w:r>
      <w:r w:rsidRPr="003D01F1">
        <w:rPr>
          <w:rFonts w:eastAsiaTheme="minorHAnsi"/>
          <w:lang w:val="fr-FR"/>
        </w:rPr>
        <w:t>intéressé n</w:t>
      </w:r>
      <w:r w:rsidR="00F21895">
        <w:rPr>
          <w:rFonts w:eastAsiaTheme="minorHAnsi"/>
          <w:lang w:val="fr-FR"/>
        </w:rPr>
        <w:t>’</w:t>
      </w:r>
      <w:r w:rsidRPr="003D01F1">
        <w:rPr>
          <w:rFonts w:eastAsiaTheme="minorHAnsi"/>
          <w:lang w:val="fr-FR"/>
        </w:rPr>
        <w:t>indique aucun détail concernant la nature du courrier soumis à contrôle pendant la période en examen et note que le dossier de la requête ne contient aucune preuve de ce que la correspondance adressée au requérant ou provenant de celui-ci aurait été ouverte et lue par les autorités compétentes (voir,</w:t>
      </w:r>
      <w:r>
        <w:rPr>
          <w:rFonts w:eastAsiaTheme="minorHAnsi"/>
          <w:lang w:val="fr-FR"/>
        </w:rPr>
        <w:t> </w:t>
      </w:r>
      <w:r w:rsidRPr="003D01F1">
        <w:rPr>
          <w:rFonts w:eastAsiaTheme="minorHAnsi"/>
          <w:i/>
          <w:iCs/>
          <w:lang w:val="fr-FR"/>
        </w:rPr>
        <w:t>Gelsomino</w:t>
      </w:r>
      <w:r>
        <w:rPr>
          <w:rFonts w:eastAsiaTheme="minorHAnsi"/>
          <w:i/>
          <w:iCs/>
          <w:lang w:val="fr-FR"/>
        </w:rPr>
        <w:t> </w:t>
      </w:r>
      <w:r w:rsidRPr="000B3970">
        <w:rPr>
          <w:rFonts w:eastAsiaTheme="minorHAnsi"/>
          <w:i/>
          <w:lang w:val="fr-FR"/>
        </w:rPr>
        <w:t>c</w:t>
      </w:r>
      <w:r w:rsidRPr="003D01F1">
        <w:rPr>
          <w:rFonts w:eastAsiaTheme="minorHAnsi"/>
          <w:lang w:val="fr-FR"/>
        </w:rPr>
        <w:t>. </w:t>
      </w:r>
      <w:r w:rsidRPr="003D01F1">
        <w:rPr>
          <w:rFonts w:eastAsiaTheme="minorHAnsi"/>
          <w:i/>
          <w:iCs/>
          <w:lang w:val="fr-FR"/>
        </w:rPr>
        <w:t>Italie</w:t>
      </w:r>
      <w:r>
        <w:rPr>
          <w:rFonts w:eastAsiaTheme="minorHAnsi"/>
          <w:lang w:val="fr-FR"/>
        </w:rPr>
        <w:t xml:space="preserve"> (déc.), n</w:t>
      </w:r>
      <w:r w:rsidRPr="00644409">
        <w:rPr>
          <w:rFonts w:eastAsiaTheme="minorHAnsi"/>
          <w:vertAlign w:val="superscript"/>
          <w:lang w:val="fr-FR"/>
        </w:rPr>
        <w:t>o</w:t>
      </w:r>
      <w:r>
        <w:rPr>
          <w:rFonts w:eastAsiaTheme="minorHAnsi"/>
          <w:lang w:val="fr-FR"/>
        </w:rPr>
        <w:t xml:space="preserve"> </w:t>
      </w:r>
      <w:r w:rsidRPr="003D01F1">
        <w:rPr>
          <w:rFonts w:eastAsiaTheme="minorHAnsi"/>
          <w:lang w:val="fr-FR"/>
        </w:rPr>
        <w:t>2005/03, du 23 mai 2006)</w:t>
      </w:r>
      <w:r>
        <w:rPr>
          <w:rFonts w:eastAsiaTheme="minorHAnsi"/>
          <w:lang w:val="fr-FR"/>
        </w:rPr>
        <w:t>.</w:t>
      </w:r>
    </w:p>
    <w:p w:rsidR="006F453D" w:rsidRDefault="006F453D" w:rsidP="00BA19BF">
      <w:pPr>
        <w:pStyle w:val="ECHRPara"/>
        <w:rPr>
          <w:rFonts w:eastAsiaTheme="minorHAnsi"/>
          <w:lang w:val="fr-FR"/>
        </w:rPr>
      </w:pPr>
      <w:r>
        <w:rPr>
          <w:rFonts w:eastAsiaTheme="minorHAnsi"/>
          <w:lang w:val="fr-FR"/>
        </w:rPr>
        <w:t>46.  </w:t>
      </w:r>
      <w:r w:rsidRPr="003D01F1">
        <w:rPr>
          <w:rFonts w:eastAsiaTheme="minorHAnsi"/>
          <w:lang w:val="fr-FR"/>
        </w:rPr>
        <w:t>La Cour rappelle que la loi n</w:t>
      </w:r>
      <w:r w:rsidRPr="00644409">
        <w:rPr>
          <w:rFonts w:eastAsiaTheme="minorHAnsi"/>
          <w:vertAlign w:val="superscript"/>
          <w:lang w:val="fr-FR"/>
        </w:rPr>
        <w:t>o</w:t>
      </w:r>
      <w:r w:rsidRPr="003D01F1">
        <w:rPr>
          <w:rFonts w:eastAsiaTheme="minorHAnsi"/>
          <w:lang w:val="fr-FR"/>
        </w:rPr>
        <w:t xml:space="preserve"> 95 de 2004 a introduit un nouvel article 18</w:t>
      </w:r>
      <w:r>
        <w:rPr>
          <w:rFonts w:eastAsiaTheme="minorHAnsi"/>
          <w:lang w:val="fr-FR"/>
        </w:rPr>
        <w:t> </w:t>
      </w:r>
      <w:r w:rsidRPr="003D01F1">
        <w:rPr>
          <w:rFonts w:eastAsiaTheme="minorHAnsi"/>
          <w:i/>
          <w:iCs/>
          <w:lang w:val="fr-FR"/>
        </w:rPr>
        <w:t xml:space="preserve">ter </w:t>
      </w:r>
      <w:r w:rsidRPr="003D01F1">
        <w:rPr>
          <w:rFonts w:eastAsiaTheme="minorHAnsi"/>
          <w:lang w:val="fr-FR"/>
        </w:rPr>
        <w:t>concernant le contrôle de correspondance qui a été ajouté à la loi sur l</w:t>
      </w:r>
      <w:r w:rsidR="00F21895">
        <w:rPr>
          <w:rFonts w:eastAsiaTheme="minorHAnsi"/>
          <w:lang w:val="fr-FR"/>
        </w:rPr>
        <w:t>’</w:t>
      </w:r>
      <w:r w:rsidRPr="003D01F1">
        <w:rPr>
          <w:rFonts w:eastAsiaTheme="minorHAnsi"/>
          <w:lang w:val="fr-FR"/>
        </w:rPr>
        <w:t>administration pénitentiaire. Le paragraphe 2 de cet article exclut du contrôle la correspondance du détenu avec notamment son avocat et les organes internationaux compétents en matière des droits de l</w:t>
      </w:r>
      <w:r w:rsidR="00F21895">
        <w:rPr>
          <w:rFonts w:eastAsiaTheme="minorHAnsi"/>
          <w:lang w:val="fr-FR"/>
        </w:rPr>
        <w:t>’</w:t>
      </w:r>
      <w:r w:rsidRPr="003D01F1">
        <w:rPr>
          <w:rFonts w:eastAsiaTheme="minorHAnsi"/>
          <w:lang w:val="fr-FR"/>
        </w:rPr>
        <w:t>homme.</w:t>
      </w:r>
    </w:p>
    <w:p w:rsidR="006F453D" w:rsidRDefault="006F453D" w:rsidP="00BA19BF">
      <w:pPr>
        <w:pStyle w:val="ECHRPara"/>
        <w:rPr>
          <w:rFonts w:eastAsia="Times New Roman"/>
          <w:lang w:val="fr-FR"/>
        </w:rPr>
      </w:pPr>
      <w:r>
        <w:rPr>
          <w:rFonts w:eastAsia="Times New Roman"/>
          <w:lang w:val="fr-FR"/>
        </w:rPr>
        <w:t>47.  </w:t>
      </w:r>
      <w:r w:rsidRPr="00DA30CD">
        <w:rPr>
          <w:rFonts w:eastAsia="Times New Roman"/>
          <w:lang w:val="fr-FR"/>
        </w:rPr>
        <w:t>En l</w:t>
      </w:r>
      <w:r w:rsidR="00F21895">
        <w:rPr>
          <w:rFonts w:eastAsia="Times New Roman"/>
          <w:lang w:val="fr-FR"/>
        </w:rPr>
        <w:t>’</w:t>
      </w:r>
      <w:r w:rsidRPr="00DA30CD">
        <w:rPr>
          <w:rFonts w:eastAsia="Times New Roman"/>
          <w:lang w:val="fr-FR"/>
        </w:rPr>
        <w:t>espèce, la Cour estime qu</w:t>
      </w:r>
      <w:r w:rsidR="00F21895">
        <w:rPr>
          <w:rFonts w:eastAsia="Times New Roman"/>
          <w:lang w:val="fr-FR"/>
        </w:rPr>
        <w:t>’</w:t>
      </w:r>
      <w:r w:rsidRPr="00DA30CD">
        <w:rPr>
          <w:rFonts w:eastAsia="Times New Roman"/>
          <w:lang w:val="fr-FR"/>
        </w:rPr>
        <w:t>à défaut des enveloppes cachetées contenant les courriers et indiquant leurs destinataires, il n</w:t>
      </w:r>
      <w:r w:rsidR="00F21895">
        <w:rPr>
          <w:rFonts w:eastAsia="Times New Roman"/>
          <w:lang w:val="fr-FR"/>
        </w:rPr>
        <w:t>’</w:t>
      </w:r>
      <w:r w:rsidRPr="00DA30CD">
        <w:rPr>
          <w:rFonts w:eastAsia="Times New Roman"/>
          <w:lang w:val="fr-FR"/>
        </w:rPr>
        <w:t>est pas possible d</w:t>
      </w:r>
      <w:r w:rsidR="00F21895">
        <w:rPr>
          <w:rFonts w:eastAsia="Times New Roman"/>
          <w:lang w:val="fr-FR"/>
        </w:rPr>
        <w:t>’</w:t>
      </w:r>
      <w:r w:rsidRPr="00DA30CD">
        <w:rPr>
          <w:rFonts w:eastAsia="Times New Roman"/>
          <w:lang w:val="fr-FR"/>
        </w:rPr>
        <w:t>établir si le contrôle était conforme au droit national (</w:t>
      </w:r>
      <w:r w:rsidRPr="00DA30CD">
        <w:rPr>
          <w:rFonts w:eastAsia="Times New Roman"/>
          <w:i/>
          <w:lang w:val="fr-FR"/>
        </w:rPr>
        <w:t>a contrario</w:t>
      </w:r>
      <w:r w:rsidRPr="00DA30CD">
        <w:rPr>
          <w:rFonts w:eastAsia="Times New Roman"/>
          <w:lang w:val="fr-FR"/>
        </w:rPr>
        <w:t xml:space="preserve">, </w:t>
      </w:r>
      <w:r w:rsidRPr="00DA30CD">
        <w:rPr>
          <w:rFonts w:eastAsia="Times New Roman"/>
          <w:i/>
          <w:lang w:val="fr-FR"/>
        </w:rPr>
        <w:t>Zara</w:t>
      </w:r>
      <w:r>
        <w:rPr>
          <w:rFonts w:eastAsia="Times New Roman"/>
          <w:i/>
          <w:lang w:val="fr-FR"/>
        </w:rPr>
        <w:t> </w:t>
      </w:r>
      <w:r w:rsidRPr="00DA30CD">
        <w:rPr>
          <w:rFonts w:eastAsia="Times New Roman"/>
          <w:i/>
          <w:lang w:val="fr-FR"/>
        </w:rPr>
        <w:t>c.</w:t>
      </w:r>
      <w:r>
        <w:rPr>
          <w:rFonts w:eastAsia="Times New Roman"/>
          <w:i/>
          <w:lang w:val="fr-FR"/>
        </w:rPr>
        <w:t> </w:t>
      </w:r>
      <w:r w:rsidRPr="00DA30CD">
        <w:rPr>
          <w:rFonts w:eastAsia="Times New Roman"/>
          <w:i/>
          <w:lang w:val="fr-FR"/>
        </w:rPr>
        <w:t>Italie</w:t>
      </w:r>
      <w:r w:rsidRPr="00DA30CD">
        <w:rPr>
          <w:rFonts w:eastAsia="Times New Roman"/>
          <w:lang w:val="fr-FR"/>
        </w:rPr>
        <w:t>, n</w:t>
      </w:r>
      <w:r w:rsidRPr="00644409">
        <w:rPr>
          <w:rFonts w:eastAsia="Times New Roman"/>
          <w:vertAlign w:val="superscript"/>
          <w:lang w:val="fr-FR"/>
        </w:rPr>
        <w:t>o</w:t>
      </w:r>
      <w:r>
        <w:rPr>
          <w:rFonts w:eastAsia="Times New Roman"/>
          <w:lang w:val="fr-FR"/>
        </w:rPr>
        <w:t xml:space="preserve"> 24424/03, </w:t>
      </w:r>
      <w:r w:rsidRPr="00DA30CD">
        <w:rPr>
          <w:rFonts w:eastAsia="Times New Roman"/>
          <w:lang w:val="fr-FR"/>
        </w:rPr>
        <w:t>§ 34, 20 janvier 2009). Dans ces circonstances, la Cour ne saurait déceler aucune apparence de violation de l</w:t>
      </w:r>
      <w:r w:rsidR="00F21895">
        <w:rPr>
          <w:rFonts w:eastAsia="Times New Roman"/>
          <w:lang w:val="fr-FR"/>
        </w:rPr>
        <w:t>’</w:t>
      </w:r>
      <w:r w:rsidRPr="00DA30CD">
        <w:rPr>
          <w:rFonts w:eastAsia="Times New Roman"/>
          <w:lang w:val="fr-FR"/>
        </w:rPr>
        <w:t>article 8 de la Convention.</w:t>
      </w:r>
      <w:r>
        <w:rPr>
          <w:rFonts w:eastAsia="Times New Roman"/>
          <w:lang w:val="fr-FR"/>
        </w:rPr>
        <w:t xml:space="preserve"> </w:t>
      </w:r>
      <w:r w:rsidRPr="00DA30CD">
        <w:rPr>
          <w:rFonts w:eastAsia="Times New Roman"/>
          <w:lang w:val="fr-FR"/>
        </w:rPr>
        <w:t>Il s</w:t>
      </w:r>
      <w:r w:rsidR="00F21895">
        <w:rPr>
          <w:rFonts w:eastAsia="Times New Roman"/>
          <w:lang w:val="fr-FR"/>
        </w:rPr>
        <w:t>’</w:t>
      </w:r>
      <w:r w:rsidRPr="00DA30CD">
        <w:rPr>
          <w:rFonts w:eastAsia="Times New Roman"/>
          <w:lang w:val="fr-FR"/>
        </w:rPr>
        <w:t>ensuit que ce grief est manifestement mal fondé</w:t>
      </w:r>
      <w:r>
        <w:rPr>
          <w:rFonts w:eastAsia="Times New Roman"/>
          <w:lang w:val="fr-FR"/>
        </w:rPr>
        <w:t>e</w:t>
      </w:r>
      <w:r w:rsidRPr="00DA30CD">
        <w:rPr>
          <w:rFonts w:eastAsia="Times New Roman"/>
          <w:lang w:val="fr-FR"/>
        </w:rPr>
        <w:t xml:space="preserve"> et doit être rejeté en application de l</w:t>
      </w:r>
      <w:r w:rsidR="00F21895">
        <w:rPr>
          <w:rFonts w:eastAsia="Times New Roman"/>
          <w:lang w:val="fr-FR"/>
        </w:rPr>
        <w:t>’</w:t>
      </w:r>
      <w:r w:rsidRPr="00DA30CD">
        <w:rPr>
          <w:rFonts w:eastAsia="Times New Roman"/>
          <w:lang w:val="fr-FR"/>
        </w:rPr>
        <w:t>article 35 §§ 3</w:t>
      </w:r>
      <w:r>
        <w:rPr>
          <w:rFonts w:eastAsia="Times New Roman"/>
          <w:lang w:val="fr-FR"/>
        </w:rPr>
        <w:t xml:space="preserve"> a)</w:t>
      </w:r>
      <w:r w:rsidRPr="00DA30CD">
        <w:rPr>
          <w:rFonts w:eastAsia="Times New Roman"/>
          <w:lang w:val="fr-FR"/>
        </w:rPr>
        <w:t xml:space="preserve"> et 4 de la Convention</w:t>
      </w:r>
      <w:r>
        <w:rPr>
          <w:rFonts w:eastAsia="Times New Roman"/>
          <w:lang w:val="fr-FR"/>
        </w:rPr>
        <w:t>.</w:t>
      </w:r>
    </w:p>
    <w:p w:rsidR="006F453D" w:rsidRPr="00C87886" w:rsidRDefault="006F453D" w:rsidP="008626FD">
      <w:pPr>
        <w:pStyle w:val="ECHRHeading2"/>
        <w:rPr>
          <w:lang w:val="fr-FR"/>
        </w:rPr>
      </w:pPr>
      <w:r>
        <w:rPr>
          <w:lang w:val="fr-FR"/>
        </w:rPr>
        <w:t>C</w:t>
      </w:r>
      <w:r w:rsidRPr="00C87886">
        <w:rPr>
          <w:lang w:val="fr-FR"/>
        </w:rPr>
        <w:t xml:space="preserve">.  Article </w:t>
      </w:r>
      <w:r>
        <w:rPr>
          <w:lang w:val="fr-FR"/>
        </w:rPr>
        <w:t>1</w:t>
      </w:r>
      <w:r w:rsidRPr="00C87886">
        <w:rPr>
          <w:lang w:val="fr-FR"/>
        </w:rPr>
        <w:t>3 de la Convention</w:t>
      </w:r>
    </w:p>
    <w:p w:rsidR="006F453D" w:rsidRPr="003D01F1" w:rsidRDefault="006F453D" w:rsidP="00BA19BF">
      <w:pPr>
        <w:pStyle w:val="ECHRPara"/>
        <w:rPr>
          <w:rFonts w:eastAsiaTheme="minorHAnsi"/>
          <w:lang w:val="fr-FR"/>
        </w:rPr>
      </w:pPr>
      <w:r>
        <w:rPr>
          <w:rFonts w:eastAsiaTheme="minorHAnsi"/>
          <w:lang w:val="fr-FR"/>
        </w:rPr>
        <w:t>48.  </w:t>
      </w:r>
      <w:r w:rsidRPr="003D01F1">
        <w:rPr>
          <w:rFonts w:eastAsiaTheme="minorHAnsi"/>
          <w:lang w:val="fr-FR"/>
        </w:rPr>
        <w:t>Le requérant se plaint, enfin, de n</w:t>
      </w:r>
      <w:r w:rsidR="00F21895">
        <w:rPr>
          <w:rFonts w:eastAsiaTheme="minorHAnsi"/>
          <w:lang w:val="fr-FR"/>
        </w:rPr>
        <w:t>’</w:t>
      </w:r>
      <w:r w:rsidRPr="003D01F1">
        <w:rPr>
          <w:rFonts w:eastAsiaTheme="minorHAnsi"/>
          <w:lang w:val="fr-FR"/>
        </w:rPr>
        <w:t>avoir pu disposer d</w:t>
      </w:r>
      <w:r w:rsidR="00F21895">
        <w:rPr>
          <w:rFonts w:eastAsiaTheme="minorHAnsi"/>
          <w:lang w:val="fr-FR"/>
        </w:rPr>
        <w:t>’</w:t>
      </w:r>
      <w:r w:rsidRPr="003D01F1">
        <w:rPr>
          <w:rFonts w:eastAsiaTheme="minorHAnsi"/>
          <w:lang w:val="fr-FR"/>
        </w:rPr>
        <w:t>un recours interne effectif pour se plaindre de la soumission au régime spécial de détention en raison de ce que le retard avec lequel le tribunal de l</w:t>
      </w:r>
      <w:r w:rsidR="00F21895">
        <w:rPr>
          <w:rFonts w:eastAsiaTheme="minorHAnsi"/>
          <w:lang w:val="fr-FR"/>
        </w:rPr>
        <w:t>’</w:t>
      </w:r>
      <w:r w:rsidRPr="003D01F1">
        <w:rPr>
          <w:rFonts w:eastAsiaTheme="minorHAnsi"/>
          <w:lang w:val="fr-FR"/>
        </w:rPr>
        <w:t>application des peines compétent a tranché son recours l</w:t>
      </w:r>
      <w:r w:rsidR="00F21895">
        <w:rPr>
          <w:rFonts w:eastAsiaTheme="minorHAnsi"/>
          <w:lang w:val="fr-FR"/>
        </w:rPr>
        <w:t>’</w:t>
      </w:r>
      <w:r w:rsidRPr="003D01F1">
        <w:rPr>
          <w:rFonts w:eastAsiaTheme="minorHAnsi"/>
          <w:lang w:val="fr-FR"/>
        </w:rPr>
        <w:t xml:space="preserve">a privé de la possibilité de se pourvoir en cassation. </w:t>
      </w:r>
      <w:r w:rsidRPr="003D01F1">
        <w:rPr>
          <w:rFonts w:ascii="Arial" w:eastAsiaTheme="minorHAnsi" w:hAnsi="Arial" w:cs="Arial"/>
          <w:sz w:val="20"/>
          <w:szCs w:val="20"/>
          <w:lang w:val="fr-FR"/>
        </w:rPr>
        <w:t xml:space="preserve">Il </w:t>
      </w:r>
      <w:r w:rsidRPr="003D01F1">
        <w:rPr>
          <w:rFonts w:eastAsiaTheme="minorHAnsi"/>
          <w:lang w:val="fr-FR"/>
        </w:rPr>
        <w:t>invoque l</w:t>
      </w:r>
      <w:r w:rsidR="00F21895">
        <w:rPr>
          <w:rFonts w:eastAsiaTheme="minorHAnsi"/>
          <w:lang w:val="fr-FR"/>
        </w:rPr>
        <w:t>’</w:t>
      </w:r>
      <w:r w:rsidRPr="003D01F1">
        <w:rPr>
          <w:rFonts w:eastAsiaTheme="minorHAnsi"/>
          <w:lang w:val="fr-FR"/>
        </w:rPr>
        <w:t>article 13 de la Convention, qui dispose :</w:t>
      </w:r>
    </w:p>
    <w:p w:rsidR="006F453D" w:rsidRPr="003D01F1" w:rsidRDefault="006F453D" w:rsidP="00BA19BF">
      <w:pPr>
        <w:pStyle w:val="ECHRParaQuote"/>
        <w:rPr>
          <w:rFonts w:ascii="Times New Roman" w:eastAsiaTheme="minorHAnsi" w:hAnsi="Times New Roman" w:cs="Times New Roman"/>
          <w:lang w:val="fr-FR"/>
        </w:rPr>
      </w:pPr>
      <w:r w:rsidRPr="003D01F1">
        <w:rPr>
          <w:rFonts w:eastAsiaTheme="minorHAnsi"/>
          <w:lang w:val="fr-FR"/>
        </w:rPr>
        <w:t xml:space="preserve"> « Toute personne dont les droits et libertés reconnus dans la (...) Convention ont été violés, a droit à l</w:t>
      </w:r>
      <w:r w:rsidR="00F21895">
        <w:rPr>
          <w:rFonts w:eastAsiaTheme="minorHAnsi"/>
          <w:lang w:val="fr-FR"/>
        </w:rPr>
        <w:t>’</w:t>
      </w:r>
      <w:r w:rsidRPr="003D01F1">
        <w:rPr>
          <w:rFonts w:eastAsiaTheme="minorHAnsi"/>
          <w:lang w:val="fr-FR"/>
        </w:rPr>
        <w:t>octroi d</w:t>
      </w:r>
      <w:r w:rsidR="00F21895">
        <w:rPr>
          <w:rFonts w:eastAsiaTheme="minorHAnsi"/>
          <w:lang w:val="fr-FR"/>
        </w:rPr>
        <w:t>’</w:t>
      </w:r>
      <w:r w:rsidRPr="003D01F1">
        <w:rPr>
          <w:rFonts w:eastAsiaTheme="minorHAnsi"/>
          <w:lang w:val="fr-FR"/>
        </w:rPr>
        <w:t>un recours effectif devant une instance nationale, alors même que la violation aurait été commise par des personnes agissant dans l</w:t>
      </w:r>
      <w:r w:rsidR="00F21895">
        <w:rPr>
          <w:rFonts w:eastAsiaTheme="minorHAnsi"/>
          <w:lang w:val="fr-FR"/>
        </w:rPr>
        <w:t>’</w:t>
      </w:r>
      <w:r w:rsidRPr="003D01F1">
        <w:rPr>
          <w:rFonts w:eastAsiaTheme="minorHAnsi"/>
          <w:lang w:val="fr-FR"/>
        </w:rPr>
        <w:t>exercice de leurs fonctions officielles. »</w:t>
      </w:r>
    </w:p>
    <w:p w:rsidR="006F453D" w:rsidRPr="003D01F1" w:rsidRDefault="006F453D" w:rsidP="00BA19BF">
      <w:pPr>
        <w:pStyle w:val="ECHRPara"/>
        <w:rPr>
          <w:rFonts w:eastAsiaTheme="minorHAnsi"/>
          <w:lang w:val="fr-FR"/>
        </w:rPr>
      </w:pPr>
      <w:r>
        <w:rPr>
          <w:rFonts w:eastAsiaTheme="minorHAnsi"/>
          <w:lang w:val="fr-FR"/>
        </w:rPr>
        <w:t>49.  </w:t>
      </w:r>
      <w:r w:rsidRPr="003D01F1">
        <w:rPr>
          <w:rFonts w:eastAsiaTheme="minorHAnsi"/>
          <w:lang w:val="fr-FR"/>
        </w:rPr>
        <w:t>La Cour rappelle que dans l</w:t>
      </w:r>
      <w:r w:rsidR="00F21895">
        <w:rPr>
          <w:rFonts w:eastAsiaTheme="minorHAnsi"/>
          <w:lang w:val="fr-FR"/>
        </w:rPr>
        <w:t>’</w:t>
      </w:r>
      <w:r w:rsidRPr="003D01F1">
        <w:rPr>
          <w:rFonts w:eastAsiaTheme="minorHAnsi"/>
          <w:lang w:val="fr-FR"/>
        </w:rPr>
        <w:t xml:space="preserve">arrêt </w:t>
      </w:r>
      <w:proofErr w:type="spellStart"/>
      <w:r w:rsidRPr="003D01F1">
        <w:rPr>
          <w:rFonts w:eastAsiaTheme="minorHAnsi"/>
          <w:i/>
          <w:iCs/>
          <w:lang w:val="fr-FR"/>
        </w:rPr>
        <w:t>Ganci</w:t>
      </w:r>
      <w:proofErr w:type="spellEnd"/>
      <w:r w:rsidRPr="003D01F1">
        <w:rPr>
          <w:rFonts w:eastAsiaTheme="minorHAnsi"/>
          <w:i/>
          <w:iCs/>
          <w:lang w:val="fr-FR"/>
        </w:rPr>
        <w:t xml:space="preserve"> c. Italie</w:t>
      </w:r>
      <w:r w:rsidRPr="003D01F1">
        <w:rPr>
          <w:rFonts w:eastAsiaTheme="minorHAnsi"/>
          <w:lang w:val="fr-FR"/>
        </w:rPr>
        <w:t xml:space="preserve"> du 30 octobre 2003 (n</w:t>
      </w:r>
      <w:r w:rsidRPr="00644409">
        <w:rPr>
          <w:rFonts w:eastAsiaTheme="minorHAnsi"/>
          <w:vertAlign w:val="superscript"/>
          <w:lang w:val="fr-FR"/>
        </w:rPr>
        <w:t>o</w:t>
      </w:r>
      <w:r>
        <w:rPr>
          <w:rFonts w:eastAsiaTheme="minorHAnsi"/>
          <w:lang w:val="fr-FR"/>
        </w:rPr>
        <w:t> </w:t>
      </w:r>
      <w:r w:rsidRPr="003D01F1">
        <w:rPr>
          <w:rFonts w:eastAsiaTheme="minorHAnsi"/>
          <w:lang w:val="fr-FR"/>
        </w:rPr>
        <w:t>41576/98), la Cour s</w:t>
      </w:r>
      <w:r w:rsidR="00F21895">
        <w:rPr>
          <w:rFonts w:eastAsiaTheme="minorHAnsi"/>
          <w:lang w:val="fr-FR"/>
        </w:rPr>
        <w:t>’</w:t>
      </w:r>
      <w:r w:rsidRPr="003D01F1">
        <w:rPr>
          <w:rFonts w:eastAsiaTheme="minorHAnsi"/>
          <w:lang w:val="fr-FR"/>
        </w:rPr>
        <w:t xml:space="preserve">est prononcée sur la question du droit à un tribunal et des possibles répercussions des retards avec lesquels les juridictions </w:t>
      </w:r>
      <w:r w:rsidRPr="003D01F1">
        <w:rPr>
          <w:rFonts w:eastAsiaTheme="minorHAnsi"/>
          <w:lang w:val="fr-FR"/>
        </w:rPr>
        <w:lastRenderedPageBreak/>
        <w:t>compétentes tranchent les recours contre les arrêtés ministériels imposant le régime spécial de détention. Elle a constaté la violation de l</w:t>
      </w:r>
      <w:r w:rsidR="00F21895">
        <w:rPr>
          <w:rFonts w:eastAsiaTheme="minorHAnsi"/>
          <w:lang w:val="fr-FR"/>
        </w:rPr>
        <w:t>’</w:t>
      </w:r>
      <w:r w:rsidRPr="003D01F1">
        <w:rPr>
          <w:rFonts w:eastAsiaTheme="minorHAnsi"/>
          <w:lang w:val="fr-FR"/>
        </w:rPr>
        <w:t>article 6 § 1 de la Convention. Auparavant, la Cour avait examiné la question sous l</w:t>
      </w:r>
      <w:r w:rsidR="00F21895">
        <w:rPr>
          <w:rFonts w:eastAsiaTheme="minorHAnsi"/>
          <w:lang w:val="fr-FR"/>
        </w:rPr>
        <w:t>’</w:t>
      </w:r>
      <w:r w:rsidRPr="003D01F1">
        <w:rPr>
          <w:rFonts w:eastAsiaTheme="minorHAnsi"/>
          <w:lang w:val="fr-FR"/>
        </w:rPr>
        <w:t>angle de l</w:t>
      </w:r>
      <w:r w:rsidR="00F21895">
        <w:rPr>
          <w:rFonts w:eastAsiaTheme="minorHAnsi"/>
          <w:lang w:val="fr-FR"/>
        </w:rPr>
        <w:t>’</w:t>
      </w:r>
      <w:r w:rsidRPr="003D01F1">
        <w:rPr>
          <w:rFonts w:eastAsiaTheme="minorHAnsi"/>
          <w:lang w:val="fr-FR"/>
        </w:rPr>
        <w:t>article 13 et conclu à la méconnaissance de cette disposition (arrêt</w:t>
      </w:r>
      <w:r>
        <w:rPr>
          <w:rFonts w:eastAsiaTheme="minorHAnsi"/>
          <w:lang w:val="fr-FR"/>
        </w:rPr>
        <w:t> </w:t>
      </w:r>
      <w:proofErr w:type="spellStart"/>
      <w:r w:rsidRPr="003D01F1">
        <w:rPr>
          <w:rFonts w:eastAsiaTheme="minorHAnsi"/>
          <w:i/>
          <w:iCs/>
          <w:lang w:val="fr-FR"/>
        </w:rPr>
        <w:t>Messina</w:t>
      </w:r>
      <w:proofErr w:type="spellEnd"/>
      <w:r w:rsidRPr="003D01F1">
        <w:rPr>
          <w:rFonts w:eastAsiaTheme="minorHAnsi"/>
          <w:i/>
          <w:iCs/>
          <w:lang w:val="fr-FR"/>
        </w:rPr>
        <w:t xml:space="preserve"> c. Italie</w:t>
      </w:r>
      <w:r w:rsidRPr="003D01F1">
        <w:rPr>
          <w:rFonts w:eastAsiaTheme="minorHAnsi"/>
          <w:lang w:val="fr-FR"/>
        </w:rPr>
        <w:t xml:space="preserve"> (n</w:t>
      </w:r>
      <w:r w:rsidRPr="00644409">
        <w:rPr>
          <w:rFonts w:eastAsiaTheme="minorHAnsi"/>
          <w:vertAlign w:val="superscript"/>
          <w:lang w:val="fr-FR"/>
        </w:rPr>
        <w:t>o</w:t>
      </w:r>
      <w:r w:rsidRPr="003D01F1">
        <w:rPr>
          <w:rFonts w:eastAsiaTheme="minorHAnsi"/>
          <w:lang w:val="fr-FR"/>
        </w:rPr>
        <w:t xml:space="preserve"> 2), du 28 septembre 2000, n</w:t>
      </w:r>
      <w:r w:rsidRPr="00644409">
        <w:rPr>
          <w:rFonts w:eastAsiaTheme="minorHAnsi"/>
          <w:vertAlign w:val="superscript"/>
          <w:lang w:val="fr-FR"/>
        </w:rPr>
        <w:t>o</w:t>
      </w:r>
      <w:r w:rsidRPr="003D01F1">
        <w:rPr>
          <w:rFonts w:eastAsiaTheme="minorHAnsi"/>
          <w:lang w:val="fr-FR"/>
        </w:rPr>
        <w:t> 25498/94, §§ 84</w:t>
      </w:r>
      <w:r w:rsidR="00F21895">
        <w:rPr>
          <w:rFonts w:eastAsiaTheme="minorHAnsi"/>
          <w:lang w:val="fr-FR"/>
        </w:rPr>
        <w:noBreakHyphen/>
      </w:r>
      <w:r w:rsidRPr="003D01F1">
        <w:rPr>
          <w:rFonts w:eastAsiaTheme="minorHAnsi"/>
          <w:lang w:val="fr-FR"/>
        </w:rPr>
        <w:t>97).</w:t>
      </w:r>
    </w:p>
    <w:p w:rsidR="006F453D" w:rsidRDefault="006F453D" w:rsidP="00BA19BF">
      <w:pPr>
        <w:pStyle w:val="ECHRPara"/>
        <w:rPr>
          <w:lang w:val="fr-FR"/>
        </w:rPr>
      </w:pPr>
      <w:r>
        <w:rPr>
          <w:lang w:val="fr-FR"/>
        </w:rPr>
        <w:t>50.  </w:t>
      </w:r>
      <w:r w:rsidRPr="00281BA0">
        <w:rPr>
          <w:lang w:val="fr-FR"/>
        </w:rPr>
        <w:t>En l</w:t>
      </w:r>
      <w:r w:rsidR="00F21895">
        <w:rPr>
          <w:lang w:val="fr-FR"/>
        </w:rPr>
        <w:t>’</w:t>
      </w:r>
      <w:r w:rsidRPr="00281BA0">
        <w:rPr>
          <w:lang w:val="fr-FR"/>
        </w:rPr>
        <w:t>espèce, la Cour note que seuls deux recours - ceux du 15 février et du 1</w:t>
      </w:r>
      <w:r w:rsidRPr="00281BA0">
        <w:rPr>
          <w:vertAlign w:val="superscript"/>
          <w:lang w:val="fr-FR"/>
        </w:rPr>
        <w:t>er</w:t>
      </w:r>
      <w:r w:rsidRPr="00281BA0">
        <w:rPr>
          <w:lang w:val="fr-FR"/>
        </w:rPr>
        <w:t xml:space="preserve"> août 1997 - ont été rejetés par le tribunal de l</w:t>
      </w:r>
      <w:r w:rsidR="00F21895">
        <w:rPr>
          <w:lang w:val="fr-FR"/>
        </w:rPr>
        <w:t>’</w:t>
      </w:r>
      <w:r w:rsidRPr="00281BA0">
        <w:rPr>
          <w:lang w:val="fr-FR"/>
        </w:rPr>
        <w:t>application des peines de Pérouse (en septembre 1997 et février 1998 respectivement, bien avant l</w:t>
      </w:r>
      <w:r w:rsidR="00F21895">
        <w:rPr>
          <w:lang w:val="fr-FR"/>
        </w:rPr>
        <w:t>’</w:t>
      </w:r>
      <w:r w:rsidRPr="00281BA0">
        <w:rPr>
          <w:lang w:val="fr-FR"/>
        </w:rPr>
        <w:t>introduction de la requête), pour défaut d</w:t>
      </w:r>
      <w:r w:rsidR="00F21895">
        <w:rPr>
          <w:lang w:val="fr-FR"/>
        </w:rPr>
        <w:t>’</w:t>
      </w:r>
      <w:r w:rsidRPr="00281BA0">
        <w:rPr>
          <w:lang w:val="fr-FR"/>
        </w:rPr>
        <w:t>intérêt du requérant, la période de validité des arrêtés attaqués ayant expiré. Le requérant affirme qu</w:t>
      </w:r>
      <w:r w:rsidR="00F21895">
        <w:rPr>
          <w:lang w:val="fr-FR"/>
        </w:rPr>
        <w:t>’</w:t>
      </w:r>
      <w:r w:rsidRPr="00281BA0">
        <w:rPr>
          <w:lang w:val="fr-FR"/>
        </w:rPr>
        <w:t>il s</w:t>
      </w:r>
      <w:r w:rsidR="00F21895">
        <w:rPr>
          <w:lang w:val="fr-FR"/>
        </w:rPr>
        <w:t>’</w:t>
      </w:r>
      <w:r w:rsidRPr="00281BA0">
        <w:rPr>
          <w:lang w:val="fr-FR"/>
        </w:rPr>
        <w:t>est</w:t>
      </w:r>
      <w:r w:rsidRPr="003D01F1">
        <w:rPr>
          <w:rFonts w:eastAsiaTheme="minorHAnsi"/>
          <w:lang w:val="fr-FR"/>
        </w:rPr>
        <w:t xml:space="preserve"> </w:t>
      </w:r>
      <w:r w:rsidRPr="00281BA0">
        <w:rPr>
          <w:lang w:val="fr-FR"/>
        </w:rPr>
        <w:t>pourvu en cassation deux fois, mais il n</w:t>
      </w:r>
      <w:r w:rsidR="00F21895">
        <w:rPr>
          <w:lang w:val="fr-FR"/>
        </w:rPr>
        <w:t>’</w:t>
      </w:r>
      <w:r w:rsidRPr="00281BA0">
        <w:rPr>
          <w:lang w:val="fr-FR"/>
        </w:rPr>
        <w:t>a pas informé la Cour de l</w:t>
      </w:r>
      <w:r w:rsidR="00F21895">
        <w:rPr>
          <w:lang w:val="fr-FR"/>
        </w:rPr>
        <w:t>’</w:t>
      </w:r>
      <w:r w:rsidRPr="00281BA0">
        <w:rPr>
          <w:lang w:val="fr-FR"/>
        </w:rPr>
        <w:t>issue de ces pourvois.</w:t>
      </w:r>
    </w:p>
    <w:p w:rsidR="006F453D" w:rsidRPr="00281BA0" w:rsidRDefault="006F453D" w:rsidP="00BA19BF">
      <w:pPr>
        <w:pStyle w:val="ECHRPara"/>
        <w:rPr>
          <w:lang w:val="fr-FR"/>
        </w:rPr>
      </w:pPr>
      <w:r>
        <w:rPr>
          <w:lang w:val="fr-FR"/>
        </w:rPr>
        <w:t>51.  </w:t>
      </w:r>
      <w:r w:rsidRPr="00A4381B">
        <w:rPr>
          <w:lang w:val="fr-FR"/>
        </w:rPr>
        <w:t xml:space="preserve">Ce grief est, par conséquent, manifestement mal fondé car en partie tardif et en partie non-étayé. </w:t>
      </w:r>
      <w:r w:rsidRPr="00281BA0">
        <w:rPr>
          <w:lang w:val="fr-FR"/>
        </w:rPr>
        <w:t>Il doit donc être rejeté en application de l</w:t>
      </w:r>
      <w:r w:rsidR="00F21895">
        <w:rPr>
          <w:lang w:val="fr-FR"/>
        </w:rPr>
        <w:t>’</w:t>
      </w:r>
      <w:r w:rsidRPr="00281BA0">
        <w:rPr>
          <w:lang w:val="fr-FR"/>
        </w:rPr>
        <w:t>article 35 §§ 3 a) et 4 de la Convention.</w:t>
      </w:r>
    </w:p>
    <w:p w:rsidR="006F453D" w:rsidRPr="0072720E" w:rsidRDefault="006F453D" w:rsidP="00BA19BF">
      <w:pPr>
        <w:pStyle w:val="DecList"/>
        <w:rPr>
          <w:lang w:val="fr-FR"/>
        </w:rPr>
      </w:pPr>
      <w:r w:rsidRPr="0072720E">
        <w:rPr>
          <w:lang w:val="fr-FR"/>
        </w:rPr>
        <w:t>Par ces motifs, la Cour, à la majorité,</w:t>
      </w:r>
    </w:p>
    <w:p w:rsidR="006F453D" w:rsidRPr="0072720E" w:rsidRDefault="006F453D" w:rsidP="00BA19BF">
      <w:pPr>
        <w:pStyle w:val="DecList"/>
        <w:rPr>
          <w:lang w:val="fr-FR"/>
        </w:rPr>
      </w:pPr>
      <w:r w:rsidRPr="0072720E">
        <w:rPr>
          <w:i/>
          <w:lang w:val="fr-FR"/>
        </w:rPr>
        <w:t xml:space="preserve">Déclare </w:t>
      </w:r>
      <w:r w:rsidRPr="0072720E">
        <w:rPr>
          <w:lang w:val="fr-FR"/>
        </w:rPr>
        <w:t>la requête irrecevable.</w:t>
      </w:r>
    </w:p>
    <w:p w:rsidR="006544C4" w:rsidRPr="00AD4F05" w:rsidRDefault="006544C4" w:rsidP="004047FE">
      <w:pPr>
        <w:pStyle w:val="ECHRPara"/>
        <w:rPr>
          <w:sz w:val="2"/>
          <w:szCs w:val="2"/>
          <w:lang w:val="fr-FR" w:eastAsia="en-GB"/>
        </w:rPr>
      </w:pPr>
    </w:p>
    <w:p w:rsidR="006F19B0" w:rsidRPr="00AD4F05" w:rsidRDefault="00F40988" w:rsidP="006F19B0">
      <w:pPr>
        <w:pStyle w:val="JuParaLast"/>
        <w:rPr>
          <w:lang w:val="fr-FR"/>
        </w:rPr>
      </w:pPr>
      <w:r w:rsidRPr="00AD4F05">
        <w:rPr>
          <w:szCs w:val="24"/>
          <w:lang w:val="fr-FR"/>
        </w:rPr>
        <w:t xml:space="preserve">Fait en français puis communiqué par écrit le </w:t>
      </w:r>
      <w:r w:rsidR="006F453D">
        <w:rPr>
          <w:szCs w:val="24"/>
          <w:lang w:val="fr-FR"/>
        </w:rPr>
        <w:t>24 septembre 2015</w:t>
      </w:r>
      <w:r w:rsidRPr="00AD4F05">
        <w:rPr>
          <w:lang w:val="fr-FR"/>
        </w:rPr>
        <w:t>.</w:t>
      </w:r>
    </w:p>
    <w:p w:rsidR="00CE6ED9" w:rsidRPr="00AD4F05" w:rsidRDefault="006F453D" w:rsidP="00B87FB1">
      <w:pPr>
        <w:pStyle w:val="JuSigned"/>
        <w:rPr>
          <w:lang w:val="fr-FR"/>
        </w:rPr>
      </w:pPr>
      <w:r w:rsidRPr="00AD4F05">
        <w:rPr>
          <w:lang w:val="fr-FR"/>
        </w:rPr>
        <w:tab/>
      </w:r>
      <w:proofErr w:type="spellStart"/>
      <w:r w:rsidR="00EF4C80" w:rsidRPr="00EF4C80">
        <w:rPr>
          <w:szCs w:val="24"/>
          <w:lang w:val="fr-FR"/>
        </w:rPr>
        <w:t>Fatoş</w:t>
      </w:r>
      <w:proofErr w:type="spellEnd"/>
      <w:r w:rsidR="00EF4C80" w:rsidRPr="00EF4C80">
        <w:rPr>
          <w:szCs w:val="24"/>
          <w:lang w:val="fr-FR"/>
        </w:rPr>
        <w:t xml:space="preserve"> </w:t>
      </w:r>
      <w:proofErr w:type="spellStart"/>
      <w:r w:rsidR="00EF4C80" w:rsidRPr="00EF4C80">
        <w:rPr>
          <w:szCs w:val="24"/>
          <w:lang w:val="fr-FR"/>
        </w:rPr>
        <w:t>Aracı</w:t>
      </w:r>
      <w:proofErr w:type="spellEnd"/>
      <w:r w:rsidR="006544C4" w:rsidRPr="00AD4F05">
        <w:rPr>
          <w:lang w:val="fr-FR"/>
        </w:rPr>
        <w:tab/>
      </w:r>
      <w:proofErr w:type="spellStart"/>
      <w:r>
        <w:rPr>
          <w:lang w:val="fr-FR"/>
        </w:rPr>
        <w:t>Päivi</w:t>
      </w:r>
      <w:proofErr w:type="spellEnd"/>
      <w:r w:rsidRPr="00AD4F05">
        <w:rPr>
          <w:lang w:val="fr-FR"/>
        </w:rPr>
        <w:t xml:space="preserve"> </w:t>
      </w:r>
      <w:proofErr w:type="spellStart"/>
      <w:r>
        <w:rPr>
          <w:lang w:val="fr-FR"/>
        </w:rPr>
        <w:t>Hirvelä</w:t>
      </w:r>
      <w:proofErr w:type="spellEnd"/>
      <w:r w:rsidR="006544C4" w:rsidRPr="00AD4F05">
        <w:rPr>
          <w:lang w:val="fr-FR"/>
        </w:rPr>
        <w:br/>
      </w:r>
      <w:r w:rsidR="006544C4" w:rsidRPr="00AD4F05">
        <w:rPr>
          <w:lang w:val="fr-FR"/>
        </w:rPr>
        <w:tab/>
      </w:r>
      <w:r>
        <w:rPr>
          <w:lang w:val="fr-FR"/>
        </w:rPr>
        <w:t>Greffière</w:t>
      </w:r>
      <w:r w:rsidR="00EF4C80">
        <w:rPr>
          <w:lang w:val="fr-FR"/>
        </w:rPr>
        <w:t xml:space="preserve"> adjointe</w:t>
      </w:r>
      <w:r w:rsidR="006544C4" w:rsidRPr="00AD4F05">
        <w:rPr>
          <w:lang w:val="fr-FR"/>
        </w:rPr>
        <w:tab/>
      </w:r>
      <w:r w:rsidRPr="00AD4F05">
        <w:rPr>
          <w:lang w:val="fr-FR"/>
        </w:rPr>
        <w:t>Présidente</w:t>
      </w:r>
    </w:p>
    <w:sectPr w:rsidR="00CE6ED9" w:rsidRPr="00AD4F05" w:rsidSect="00AF7102">
      <w:headerReference w:type="even" r:id="rId13"/>
      <w:headerReference w:type="default" r:id="rId14"/>
      <w:headerReference w:type="first" r:id="rId15"/>
      <w:footerReference w:type="first" r:id="rId16"/>
      <w:footnotePr>
        <w:numRestart w:val="eachPage"/>
      </w:footnotePr>
      <w:pgSz w:w="11906" w:h="16838" w:code="9"/>
      <w:pgMar w:top="2274" w:right="2274" w:bottom="2274" w:left="2274" w:header="1701"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69DB" w:rsidRDefault="00F469DB" w:rsidP="006544C4">
      <w:r>
        <w:separator/>
      </w:r>
    </w:p>
  </w:endnote>
  <w:endnote w:type="continuationSeparator" w:id="0">
    <w:p w:rsidR="00F469DB" w:rsidRDefault="00F469DB" w:rsidP="006544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453D" w:rsidRPr="00150BFA" w:rsidRDefault="006F453D" w:rsidP="0020718E">
    <w:pPr>
      <w:jc w:val="center"/>
    </w:pPr>
    <w:r>
      <w:rPr>
        <w:noProof/>
        <w:lang w:val="it-IT" w:eastAsia="it-IT"/>
      </w:rPr>
      <w:drawing>
        <wp:inline distT="0" distB="0" distL="0" distR="0" wp14:anchorId="2CCB32C3" wp14:editId="0A672FF2">
          <wp:extent cx="771525" cy="619125"/>
          <wp:effectExtent l="0" t="0" r="9525" b="9525"/>
          <wp:docPr id="3" name="Picture 3"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rsidR="00112D62" w:rsidRPr="00633A19" w:rsidRDefault="00F469DB" w:rsidP="003146E4">
    <w:pPr>
      <w:jc w:val="center"/>
      <w:rPr>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69DB" w:rsidRDefault="00F469DB" w:rsidP="006544C4">
      <w:r>
        <w:separator/>
      </w:r>
    </w:p>
  </w:footnote>
  <w:footnote w:type="continuationSeparator" w:id="0">
    <w:p w:rsidR="00F469DB" w:rsidRDefault="00F469DB" w:rsidP="006544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2D62" w:rsidRPr="000D527F" w:rsidRDefault="006F453D" w:rsidP="003312A3">
    <w:pPr>
      <w:pStyle w:val="ECHRHeader"/>
      <w:rPr>
        <w:lang w:val="en-GB"/>
      </w:rPr>
    </w:pPr>
    <w:r>
      <w:rPr>
        <w:rStyle w:val="Numeropagina"/>
        <w:lang w:val="en-GB"/>
      </w:rPr>
      <w:fldChar w:fldCharType="begin"/>
    </w:r>
    <w:r>
      <w:rPr>
        <w:rStyle w:val="Numeropagina"/>
        <w:lang w:val="en-GB"/>
      </w:rPr>
      <w:instrText xml:space="preserve"> PAGE </w:instrText>
    </w:r>
    <w:r>
      <w:rPr>
        <w:rStyle w:val="Numeropagina"/>
        <w:lang w:val="en-GB"/>
      </w:rPr>
      <w:fldChar w:fldCharType="separate"/>
    </w:r>
    <w:r w:rsidR="00A92A8A">
      <w:rPr>
        <w:rStyle w:val="Numeropagina"/>
        <w:noProof/>
        <w:lang w:val="en-GB"/>
      </w:rPr>
      <w:t>12</w:t>
    </w:r>
    <w:r>
      <w:rPr>
        <w:rStyle w:val="Numeropagina"/>
        <w:lang w:val="en-GB"/>
      </w:rPr>
      <w:fldChar w:fldCharType="end"/>
    </w:r>
    <w:r w:rsidR="00334EC5" w:rsidRPr="000D527F">
      <w:rPr>
        <w:lang w:val="en-GB"/>
      </w:rPr>
      <w:tab/>
      <w:t xml:space="preserve">DÉCISION </w:t>
    </w:r>
    <w:r>
      <w:rPr>
        <w:lang w:val="en-GB"/>
      </w:rPr>
      <w:t>PAOLELLO c. ITALIE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2D62" w:rsidRPr="000D527F" w:rsidRDefault="00334EC5" w:rsidP="006544C4">
    <w:pPr>
      <w:pStyle w:val="ECHRHeader"/>
      <w:rPr>
        <w:lang w:val="en-GB"/>
      </w:rPr>
    </w:pPr>
    <w:r>
      <w:tab/>
    </w:r>
    <w:r w:rsidRPr="000D527F">
      <w:rPr>
        <w:lang w:val="en-GB"/>
      </w:rPr>
      <w:t xml:space="preserve">DÉCISION </w:t>
    </w:r>
    <w:r w:rsidR="006F453D">
      <w:rPr>
        <w:lang w:val="en-GB"/>
      </w:rPr>
      <w:t>PAOLELLO c. ITALIE</w:t>
    </w:r>
    <w:r w:rsidRPr="000D527F">
      <w:rPr>
        <w:lang w:val="en-GB"/>
      </w:rPr>
      <w:tab/>
    </w:r>
    <w:r w:rsidR="006F453D">
      <w:rPr>
        <w:rStyle w:val="Numeropagina"/>
        <w:lang w:val="en-GB"/>
      </w:rPr>
      <w:fldChar w:fldCharType="begin"/>
    </w:r>
    <w:r w:rsidR="006F453D">
      <w:rPr>
        <w:rStyle w:val="Numeropagina"/>
        <w:lang w:val="en-GB"/>
      </w:rPr>
      <w:instrText xml:space="preserve"> PAGE </w:instrText>
    </w:r>
    <w:r w:rsidR="006F453D">
      <w:rPr>
        <w:rStyle w:val="Numeropagina"/>
        <w:lang w:val="en-GB"/>
      </w:rPr>
      <w:fldChar w:fldCharType="separate"/>
    </w:r>
    <w:r w:rsidR="00A92A8A">
      <w:rPr>
        <w:rStyle w:val="Numeropagina"/>
        <w:noProof/>
        <w:lang w:val="en-GB"/>
      </w:rPr>
      <w:t>13</w:t>
    </w:r>
    <w:r w:rsidR="006F453D">
      <w:rPr>
        <w:rStyle w:val="Numeropagina"/>
        <w:lang w:val="en-GB"/>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453D" w:rsidRPr="00A45145" w:rsidRDefault="006F453D" w:rsidP="00A45145">
    <w:pPr>
      <w:jc w:val="center"/>
    </w:pPr>
    <w:r>
      <w:rPr>
        <w:noProof/>
        <w:lang w:val="it-IT" w:eastAsia="it-IT"/>
      </w:rPr>
      <w:drawing>
        <wp:inline distT="0" distB="0" distL="0" distR="0" wp14:anchorId="5BBA625D" wp14:editId="185C6CEB">
          <wp:extent cx="2962275" cy="1219200"/>
          <wp:effectExtent l="0" t="0" r="9525" b="0"/>
          <wp:docPr id="1" name="Picture 1"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rsidR="00112D62" w:rsidRDefault="00F469DB" w:rsidP="003146E4">
    <w:pP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C26C5606"/>
    <w:lvl w:ilvl="0">
      <w:start w:val="1"/>
      <w:numFmt w:val="decimal"/>
      <w:pStyle w:val="Numeroelenco5"/>
      <w:lvlText w:val="%1."/>
      <w:lvlJc w:val="left"/>
      <w:pPr>
        <w:tabs>
          <w:tab w:val="num" w:pos="1492"/>
        </w:tabs>
        <w:ind w:left="1492" w:hanging="360"/>
      </w:pPr>
    </w:lvl>
  </w:abstractNum>
  <w:abstractNum w:abstractNumId="1">
    <w:nsid w:val="FFFFFF7D"/>
    <w:multiLevelType w:val="singleLevel"/>
    <w:tmpl w:val="B784B494"/>
    <w:lvl w:ilvl="0">
      <w:start w:val="1"/>
      <w:numFmt w:val="decimal"/>
      <w:pStyle w:val="Numeroelenco4"/>
      <w:lvlText w:val="%1."/>
      <w:lvlJc w:val="left"/>
      <w:pPr>
        <w:tabs>
          <w:tab w:val="num" w:pos="1209"/>
        </w:tabs>
        <w:ind w:left="1209" w:hanging="360"/>
      </w:pPr>
    </w:lvl>
  </w:abstractNum>
  <w:abstractNum w:abstractNumId="2">
    <w:nsid w:val="FFFFFF7E"/>
    <w:multiLevelType w:val="singleLevel"/>
    <w:tmpl w:val="52BEA742"/>
    <w:lvl w:ilvl="0">
      <w:start w:val="1"/>
      <w:numFmt w:val="decimal"/>
      <w:pStyle w:val="Numeroelenco3"/>
      <w:lvlText w:val="%1."/>
      <w:lvlJc w:val="left"/>
      <w:pPr>
        <w:tabs>
          <w:tab w:val="num" w:pos="926"/>
        </w:tabs>
        <w:ind w:left="926" w:hanging="360"/>
      </w:pPr>
    </w:lvl>
  </w:abstractNum>
  <w:abstractNum w:abstractNumId="3">
    <w:nsid w:val="FFFFFF7F"/>
    <w:multiLevelType w:val="singleLevel"/>
    <w:tmpl w:val="50CE4694"/>
    <w:lvl w:ilvl="0">
      <w:start w:val="1"/>
      <w:numFmt w:val="decimal"/>
      <w:pStyle w:val="Numeroelenco2"/>
      <w:lvlText w:val="%1."/>
      <w:lvlJc w:val="left"/>
      <w:pPr>
        <w:tabs>
          <w:tab w:val="num" w:pos="643"/>
        </w:tabs>
        <w:ind w:left="643" w:hanging="360"/>
      </w:pPr>
    </w:lvl>
  </w:abstractNum>
  <w:abstractNum w:abstractNumId="4">
    <w:nsid w:val="FFFFFF80"/>
    <w:multiLevelType w:val="singleLevel"/>
    <w:tmpl w:val="BBB0CDAA"/>
    <w:lvl w:ilvl="0">
      <w:start w:val="1"/>
      <w:numFmt w:val="bullet"/>
      <w:pStyle w:val="Puntoelenco5"/>
      <w:lvlText w:val=""/>
      <w:lvlJc w:val="left"/>
      <w:pPr>
        <w:tabs>
          <w:tab w:val="num" w:pos="1492"/>
        </w:tabs>
        <w:ind w:left="1492" w:hanging="360"/>
      </w:pPr>
      <w:rPr>
        <w:rFonts w:ascii="Symbol" w:hAnsi="Symbol" w:hint="default"/>
      </w:rPr>
    </w:lvl>
  </w:abstractNum>
  <w:abstractNum w:abstractNumId="5">
    <w:nsid w:val="FFFFFF81"/>
    <w:multiLevelType w:val="singleLevel"/>
    <w:tmpl w:val="D3FAB61E"/>
    <w:lvl w:ilvl="0">
      <w:start w:val="1"/>
      <w:numFmt w:val="bullet"/>
      <w:pStyle w:val="Puntoelenco4"/>
      <w:lvlText w:val=""/>
      <w:lvlJc w:val="left"/>
      <w:pPr>
        <w:tabs>
          <w:tab w:val="num" w:pos="1209"/>
        </w:tabs>
        <w:ind w:left="1209" w:hanging="360"/>
      </w:pPr>
      <w:rPr>
        <w:rFonts w:ascii="Symbol" w:hAnsi="Symbol" w:hint="default"/>
      </w:rPr>
    </w:lvl>
  </w:abstractNum>
  <w:abstractNum w:abstractNumId="6">
    <w:nsid w:val="FFFFFF82"/>
    <w:multiLevelType w:val="singleLevel"/>
    <w:tmpl w:val="997A5848"/>
    <w:lvl w:ilvl="0">
      <w:start w:val="1"/>
      <w:numFmt w:val="bullet"/>
      <w:pStyle w:val="Puntoelenco3"/>
      <w:lvlText w:val=""/>
      <w:lvlJc w:val="left"/>
      <w:pPr>
        <w:tabs>
          <w:tab w:val="num" w:pos="926"/>
        </w:tabs>
        <w:ind w:left="926" w:hanging="360"/>
      </w:pPr>
      <w:rPr>
        <w:rFonts w:ascii="Symbol" w:hAnsi="Symbol" w:hint="default"/>
      </w:rPr>
    </w:lvl>
  </w:abstractNum>
  <w:abstractNum w:abstractNumId="7">
    <w:nsid w:val="FFFFFF83"/>
    <w:multiLevelType w:val="singleLevel"/>
    <w:tmpl w:val="3A5A1074"/>
    <w:lvl w:ilvl="0">
      <w:start w:val="1"/>
      <w:numFmt w:val="bullet"/>
      <w:pStyle w:val="Puntoelenco2"/>
      <w:lvlText w:val=""/>
      <w:lvlJc w:val="left"/>
      <w:pPr>
        <w:tabs>
          <w:tab w:val="num" w:pos="643"/>
        </w:tabs>
        <w:ind w:left="643" w:hanging="360"/>
      </w:pPr>
      <w:rPr>
        <w:rFonts w:ascii="Symbol" w:hAnsi="Symbol" w:hint="default"/>
      </w:rPr>
    </w:lvl>
  </w:abstractNum>
  <w:abstractNum w:abstractNumId="8">
    <w:nsid w:val="FFFFFF88"/>
    <w:multiLevelType w:val="singleLevel"/>
    <w:tmpl w:val="3DE83B68"/>
    <w:lvl w:ilvl="0">
      <w:start w:val="1"/>
      <w:numFmt w:val="decimal"/>
      <w:pStyle w:val="Numeroelenco"/>
      <w:lvlText w:val="%1."/>
      <w:lvlJc w:val="left"/>
      <w:pPr>
        <w:tabs>
          <w:tab w:val="num" w:pos="360"/>
        </w:tabs>
        <w:ind w:left="360" w:hanging="360"/>
      </w:pPr>
    </w:lvl>
  </w:abstractNum>
  <w:abstractNum w:abstractNumId="9">
    <w:nsid w:val="FFFFFF89"/>
    <w:multiLevelType w:val="singleLevel"/>
    <w:tmpl w:val="215E9F46"/>
    <w:lvl w:ilvl="0">
      <w:start w:val="1"/>
      <w:numFmt w:val="bullet"/>
      <w:pStyle w:val="Puntoelenco"/>
      <w:lvlText w:val=""/>
      <w:lvlJc w:val="left"/>
      <w:pPr>
        <w:tabs>
          <w:tab w:val="num" w:pos="360"/>
        </w:tabs>
        <w:ind w:left="360" w:hanging="360"/>
      </w:pPr>
      <w:rPr>
        <w:rFonts w:ascii="Symbol" w:hAnsi="Symbol" w:hint="default"/>
      </w:rPr>
    </w:lvl>
  </w:abstractNum>
  <w:abstractNum w:abstractNumId="10">
    <w:nsid w:val="0B16086F"/>
    <w:multiLevelType w:val="multilevel"/>
    <w:tmpl w:val="F842BC8C"/>
    <w:lvl w:ilvl="0">
      <w:start w:val="1"/>
      <w:numFmt w:val="bullet"/>
      <w:lvlText w:val=""/>
      <w:lvlJc w:val="left"/>
      <w:pPr>
        <w:tabs>
          <w:tab w:val="num" w:pos="851"/>
        </w:tabs>
        <w:ind w:left="851" w:hanging="284"/>
      </w:pPr>
      <w:rPr>
        <w:rFonts w:ascii="Wingdings" w:hAnsi="Wingdings" w:hint="default"/>
        <w:color w:val="0072BC" w:themeColor="background1"/>
      </w:rPr>
    </w:lvl>
    <w:lvl w:ilvl="1">
      <w:start w:val="1"/>
      <w:numFmt w:val="bullet"/>
      <w:lvlText w:val=""/>
      <w:lvlJc w:val="left"/>
      <w:pPr>
        <w:tabs>
          <w:tab w:val="num" w:pos="1134"/>
        </w:tabs>
        <w:ind w:left="1135" w:hanging="284"/>
      </w:pPr>
      <w:rPr>
        <w:rFonts w:ascii="Wingdings" w:hAnsi="Wingdings" w:hint="default"/>
        <w:color w:val="0072BC" w:themeColor="background1"/>
      </w:rPr>
    </w:lvl>
    <w:lvl w:ilvl="2">
      <w:start w:val="1"/>
      <w:numFmt w:val="bullet"/>
      <w:lvlText w:val=""/>
      <w:lvlJc w:val="left"/>
      <w:pPr>
        <w:tabs>
          <w:tab w:val="num" w:pos="1418"/>
        </w:tabs>
        <w:ind w:left="1419" w:hanging="284"/>
      </w:pPr>
      <w:rPr>
        <w:rFonts w:ascii="Wingdings" w:hAnsi="Wingdings" w:hint="default"/>
        <w:color w:val="7F7F7F" w:themeColor="text1" w:themeTint="80"/>
      </w:rPr>
    </w:lvl>
    <w:lvl w:ilvl="3">
      <w:start w:val="1"/>
      <w:numFmt w:val="bullet"/>
      <w:lvlText w:val=""/>
      <w:lvlJc w:val="left"/>
      <w:pPr>
        <w:tabs>
          <w:tab w:val="num" w:pos="1701"/>
        </w:tabs>
        <w:ind w:left="1703" w:hanging="284"/>
      </w:pPr>
      <w:rPr>
        <w:rFonts w:ascii="Wingdings" w:hAnsi="Wingdings" w:hint="default"/>
        <w:color w:val="7F7F7F" w:themeColor="text1" w:themeTint="80"/>
      </w:rPr>
    </w:lvl>
    <w:lvl w:ilvl="4">
      <w:start w:val="1"/>
      <w:numFmt w:val="bullet"/>
      <w:lvlText w:val=""/>
      <w:lvlJc w:val="left"/>
      <w:pPr>
        <w:tabs>
          <w:tab w:val="num" w:pos="1760"/>
        </w:tabs>
        <w:ind w:left="1987" w:hanging="284"/>
      </w:pPr>
      <w:rPr>
        <w:rFonts w:ascii="Wingdings" w:hAnsi="Wingdings" w:hint="default"/>
        <w:color w:val="0072BC" w:themeColor="background1"/>
      </w:rPr>
    </w:lvl>
    <w:lvl w:ilvl="5">
      <w:start w:val="1"/>
      <w:numFmt w:val="bullet"/>
      <w:lvlText w:val=""/>
      <w:lvlJc w:val="left"/>
      <w:pPr>
        <w:tabs>
          <w:tab w:val="num" w:pos="2044"/>
        </w:tabs>
        <w:ind w:left="2271" w:hanging="284"/>
      </w:pPr>
      <w:rPr>
        <w:rFonts w:ascii="Wingdings" w:hAnsi="Wingdings" w:hint="default"/>
        <w:color w:val="5F5F5F" w:themeColor="accent5"/>
      </w:rPr>
    </w:lvl>
    <w:lvl w:ilvl="6">
      <w:start w:val="1"/>
      <w:numFmt w:val="bullet"/>
      <w:lvlText w:val=""/>
      <w:lvlJc w:val="left"/>
      <w:pPr>
        <w:tabs>
          <w:tab w:val="num" w:pos="2328"/>
        </w:tabs>
        <w:ind w:left="2555" w:hanging="284"/>
      </w:pPr>
      <w:rPr>
        <w:rFonts w:ascii="Symbol" w:hAnsi="Symbol" w:hint="default"/>
      </w:rPr>
    </w:lvl>
    <w:lvl w:ilvl="7">
      <w:start w:val="1"/>
      <w:numFmt w:val="bullet"/>
      <w:lvlText w:val="o"/>
      <w:lvlJc w:val="left"/>
      <w:pPr>
        <w:tabs>
          <w:tab w:val="num" w:pos="2612"/>
        </w:tabs>
        <w:ind w:left="2839" w:hanging="284"/>
      </w:pPr>
      <w:rPr>
        <w:rFonts w:ascii="Courier New" w:hAnsi="Courier New" w:hint="default"/>
      </w:rPr>
    </w:lvl>
    <w:lvl w:ilvl="8">
      <w:start w:val="1"/>
      <w:numFmt w:val="bullet"/>
      <w:lvlText w:val=""/>
      <w:lvlJc w:val="left"/>
      <w:pPr>
        <w:tabs>
          <w:tab w:val="num" w:pos="2896"/>
        </w:tabs>
        <w:ind w:left="3123" w:hanging="284"/>
      </w:pPr>
      <w:rPr>
        <w:rFonts w:ascii="Wingdings" w:hAnsi="Wingdings" w:hint="default"/>
      </w:rPr>
    </w:lvl>
  </w:abstractNum>
  <w:abstractNum w:abstractNumId="11">
    <w:nsid w:val="0F5865E5"/>
    <w:multiLevelType w:val="multilevel"/>
    <w:tmpl w:val="9B34AC6C"/>
    <w:lvl w:ilvl="0">
      <w:start w:val="1"/>
      <w:numFmt w:val="decimal"/>
      <w:lvlText w:val="%1."/>
      <w:lvlJc w:val="left"/>
      <w:pPr>
        <w:tabs>
          <w:tab w:val="num" w:pos="964"/>
        </w:tabs>
        <w:ind w:left="964" w:hanging="397"/>
      </w:pPr>
      <w:rPr>
        <w:rFonts w:hint="default"/>
      </w:rPr>
    </w:lvl>
    <w:lvl w:ilvl="1">
      <w:start w:val="1"/>
      <w:numFmt w:val="lowerLetter"/>
      <w:lvlText w:val="%2."/>
      <w:lvlJc w:val="left"/>
      <w:pPr>
        <w:tabs>
          <w:tab w:val="num" w:pos="1361"/>
        </w:tabs>
        <w:ind w:left="1361" w:hanging="397"/>
      </w:pPr>
      <w:rPr>
        <w:rFonts w:hint="default"/>
      </w:rPr>
    </w:lvl>
    <w:lvl w:ilvl="2">
      <w:start w:val="1"/>
      <w:numFmt w:val="lowerRoman"/>
      <w:lvlText w:val="%3."/>
      <w:lvlJc w:val="left"/>
      <w:pPr>
        <w:tabs>
          <w:tab w:val="num" w:pos="1758"/>
        </w:tabs>
        <w:ind w:left="1758" w:hanging="397"/>
      </w:pPr>
      <w:rPr>
        <w:rFonts w:hint="default"/>
      </w:rPr>
    </w:lvl>
    <w:lvl w:ilvl="3">
      <w:start w:val="1"/>
      <w:numFmt w:val="decimal"/>
      <w:lvlText w:val="(%4)"/>
      <w:lvlJc w:val="left"/>
      <w:pPr>
        <w:tabs>
          <w:tab w:val="num" w:pos="1703"/>
        </w:tabs>
        <w:ind w:left="1703" w:hanging="284"/>
      </w:pPr>
      <w:rPr>
        <w:rFonts w:hint="default"/>
      </w:rPr>
    </w:lvl>
    <w:lvl w:ilvl="4">
      <w:start w:val="1"/>
      <w:numFmt w:val="lowerLetter"/>
      <w:lvlText w:val="(%5)"/>
      <w:lvlJc w:val="left"/>
      <w:pPr>
        <w:tabs>
          <w:tab w:val="num" w:pos="1987"/>
        </w:tabs>
        <w:ind w:left="1987" w:hanging="284"/>
      </w:pPr>
      <w:rPr>
        <w:rFonts w:hint="default"/>
      </w:rPr>
    </w:lvl>
    <w:lvl w:ilvl="5">
      <w:start w:val="1"/>
      <w:numFmt w:val="lowerRoman"/>
      <w:lvlText w:val="(%6)"/>
      <w:lvlJc w:val="left"/>
      <w:pPr>
        <w:tabs>
          <w:tab w:val="num" w:pos="2271"/>
        </w:tabs>
        <w:ind w:left="2271" w:hanging="284"/>
      </w:pPr>
      <w:rPr>
        <w:rFonts w:hint="default"/>
      </w:rPr>
    </w:lvl>
    <w:lvl w:ilvl="6">
      <w:start w:val="1"/>
      <w:numFmt w:val="decimal"/>
      <w:lvlText w:val="%7."/>
      <w:lvlJc w:val="left"/>
      <w:pPr>
        <w:tabs>
          <w:tab w:val="num" w:pos="2555"/>
        </w:tabs>
        <w:ind w:left="2555" w:hanging="284"/>
      </w:pPr>
      <w:rPr>
        <w:rFonts w:hint="default"/>
      </w:rPr>
    </w:lvl>
    <w:lvl w:ilvl="7">
      <w:start w:val="1"/>
      <w:numFmt w:val="lowerLetter"/>
      <w:lvlText w:val="%8."/>
      <w:lvlJc w:val="left"/>
      <w:pPr>
        <w:tabs>
          <w:tab w:val="num" w:pos="2839"/>
        </w:tabs>
        <w:ind w:left="2839" w:hanging="284"/>
      </w:pPr>
      <w:rPr>
        <w:rFonts w:hint="default"/>
      </w:rPr>
    </w:lvl>
    <w:lvl w:ilvl="8">
      <w:start w:val="1"/>
      <w:numFmt w:val="lowerRoman"/>
      <w:lvlText w:val="%9."/>
      <w:lvlJc w:val="left"/>
      <w:pPr>
        <w:tabs>
          <w:tab w:val="num" w:pos="3123"/>
        </w:tabs>
        <w:ind w:left="3123" w:hanging="284"/>
      </w:pPr>
      <w:rPr>
        <w:rFonts w:hint="default"/>
      </w:rPr>
    </w:lvl>
  </w:abstractNum>
  <w:abstractNum w:abstractNumId="12">
    <w:nsid w:val="216720CA"/>
    <w:multiLevelType w:val="hybridMultilevel"/>
    <w:tmpl w:val="28525A4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88D47DE"/>
    <w:multiLevelType w:val="multilevel"/>
    <w:tmpl w:val="8012C870"/>
    <w:lvl w:ilvl="0">
      <w:start w:val="1"/>
      <w:numFmt w:val="decimal"/>
      <w:lvlText w:val="%1."/>
      <w:lvlJc w:val="left"/>
      <w:pPr>
        <w:ind w:left="992" w:hanging="425"/>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590D1DC3"/>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63C24A01"/>
    <w:multiLevelType w:val="hybridMultilevel"/>
    <w:tmpl w:val="A77E351E"/>
    <w:lvl w:ilvl="0" w:tplc="4B40540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83C0B67"/>
    <w:multiLevelType w:val="hybridMultilevel"/>
    <w:tmpl w:val="4FB668F6"/>
    <w:lvl w:ilvl="0" w:tplc="4B40540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26306C2"/>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76903243"/>
    <w:multiLevelType w:val="multilevel"/>
    <w:tmpl w:val="E884A926"/>
    <w:lvl w:ilvl="0">
      <w:start w:val="1"/>
      <w:numFmt w:val="decimal"/>
      <w:pStyle w:val="JuAppQuestion"/>
      <w:lvlText w:val="%1."/>
      <w:lvlJc w:val="left"/>
      <w:pPr>
        <w:tabs>
          <w:tab w:val="num" w:pos="720"/>
        </w:tabs>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nsid w:val="7CCD2930"/>
    <w:multiLevelType w:val="multilevel"/>
    <w:tmpl w:val="04090023"/>
    <w:styleLink w:val="ArticoloSezione"/>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3"/>
  </w:num>
  <w:num w:numId="2">
    <w:abstractNumId w:val="10"/>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11"/>
  </w:num>
  <w:num w:numId="6">
    <w:abstractNumId w:val="10"/>
  </w:num>
  <w:num w:numId="7">
    <w:abstractNumId w:val="11"/>
  </w:num>
  <w:num w:numId="8">
    <w:abstractNumId w:val="7"/>
  </w:num>
  <w:num w:numId="9">
    <w:abstractNumId w:val="6"/>
  </w:num>
  <w:num w:numId="10">
    <w:abstractNumId w:val="18"/>
  </w:num>
  <w:num w:numId="11">
    <w:abstractNumId w:val="18"/>
  </w:num>
  <w:num w:numId="12">
    <w:abstractNumId w:val="14"/>
  </w:num>
  <w:num w:numId="13">
    <w:abstractNumId w:val="17"/>
  </w:num>
  <w:num w:numId="14">
    <w:abstractNumId w:val="19"/>
  </w:num>
  <w:num w:numId="15">
    <w:abstractNumId w:val="9"/>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6"/>
  </w:num>
  <w:num w:numId="24">
    <w:abstractNumId w:val="12"/>
  </w:num>
  <w:num w:numId="25">
    <w:abstractNumId w:val="1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proofState w:spelling="clean" w:grammar="clea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hyphenationZone w:val="425"/>
  <w:evenAndOddHeaders/>
  <w:drawingGridHorizontalSpacing w:val="110"/>
  <w:displayHorizontalDrawingGridEvery w:val="2"/>
  <w:displayVerticalDrawingGridEvery w:val="2"/>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plicationsApp" w:val="1"/>
    <w:docVar w:name="AppNatAutre" w:val="0"/>
    <w:docVar w:name="DocVarPREMATURE" w:val="0"/>
    <w:docVar w:name="EMM" w:val="0"/>
    <w:docVar w:name="ETRANSMISSION" w:val="PAR VOIE ÉLECTRONIQUE UNIQUEMENT"/>
    <w:docVar w:name="L4_1Annex" w:val="0"/>
    <w:docVar w:name="L4_1Anonymity" w:val="0"/>
    <w:docVar w:name="NBEMMDOC" w:val="0"/>
    <w:docVar w:name="Plural" w:val="0"/>
    <w:docVar w:name="SignForeName" w:val="0"/>
  </w:docVars>
  <w:rsids>
    <w:rsidRoot w:val="006F453D"/>
    <w:rsid w:val="000041F8"/>
    <w:rsid w:val="000042A8"/>
    <w:rsid w:val="00004308"/>
    <w:rsid w:val="00005BF0"/>
    <w:rsid w:val="00007154"/>
    <w:rsid w:val="000103AE"/>
    <w:rsid w:val="00011D69"/>
    <w:rsid w:val="00012AD3"/>
    <w:rsid w:val="00015C2D"/>
    <w:rsid w:val="00015F00"/>
    <w:rsid w:val="00022C1D"/>
    <w:rsid w:val="00034987"/>
    <w:rsid w:val="000602DF"/>
    <w:rsid w:val="00061B05"/>
    <w:rsid w:val="000632D5"/>
    <w:rsid w:val="000644EE"/>
    <w:rsid w:val="000925AD"/>
    <w:rsid w:val="000A24EB"/>
    <w:rsid w:val="000B6923"/>
    <w:rsid w:val="000C5F3C"/>
    <w:rsid w:val="000C6DCC"/>
    <w:rsid w:val="000D47AA"/>
    <w:rsid w:val="000D721F"/>
    <w:rsid w:val="000E069B"/>
    <w:rsid w:val="000E0E82"/>
    <w:rsid w:val="000E1DC5"/>
    <w:rsid w:val="000E223F"/>
    <w:rsid w:val="000E7D45"/>
    <w:rsid w:val="000F7851"/>
    <w:rsid w:val="00104E23"/>
    <w:rsid w:val="00111B0C"/>
    <w:rsid w:val="00120D6C"/>
    <w:rsid w:val="001257EC"/>
    <w:rsid w:val="00133D33"/>
    <w:rsid w:val="00134D64"/>
    <w:rsid w:val="00135A30"/>
    <w:rsid w:val="0013612C"/>
    <w:rsid w:val="00137FF6"/>
    <w:rsid w:val="00141650"/>
    <w:rsid w:val="00162A12"/>
    <w:rsid w:val="00166530"/>
    <w:rsid w:val="0016678F"/>
    <w:rsid w:val="001832BD"/>
    <w:rsid w:val="001943B5"/>
    <w:rsid w:val="00195134"/>
    <w:rsid w:val="001A145B"/>
    <w:rsid w:val="001A674C"/>
    <w:rsid w:val="001B3B24"/>
    <w:rsid w:val="001C0F98"/>
    <w:rsid w:val="001C2A42"/>
    <w:rsid w:val="001D63ED"/>
    <w:rsid w:val="001D7348"/>
    <w:rsid w:val="001E035B"/>
    <w:rsid w:val="001E0961"/>
    <w:rsid w:val="001E3EAE"/>
    <w:rsid w:val="001E6F32"/>
    <w:rsid w:val="001F2145"/>
    <w:rsid w:val="001F6262"/>
    <w:rsid w:val="001F67B0"/>
    <w:rsid w:val="001F7B3D"/>
    <w:rsid w:val="00205F9F"/>
    <w:rsid w:val="00210338"/>
    <w:rsid w:val="002115FC"/>
    <w:rsid w:val="0021423C"/>
    <w:rsid w:val="00230D00"/>
    <w:rsid w:val="00231DF7"/>
    <w:rsid w:val="00231FD1"/>
    <w:rsid w:val="002339E0"/>
    <w:rsid w:val="00233CF8"/>
    <w:rsid w:val="00234E8A"/>
    <w:rsid w:val="0023575D"/>
    <w:rsid w:val="00237148"/>
    <w:rsid w:val="0024222D"/>
    <w:rsid w:val="00244B0E"/>
    <w:rsid w:val="00244F6C"/>
    <w:rsid w:val="002532C5"/>
    <w:rsid w:val="00255158"/>
    <w:rsid w:val="00255DFC"/>
    <w:rsid w:val="00260C03"/>
    <w:rsid w:val="0026540E"/>
    <w:rsid w:val="00266F96"/>
    <w:rsid w:val="00275123"/>
    <w:rsid w:val="00282240"/>
    <w:rsid w:val="002948AD"/>
    <w:rsid w:val="002A01CC"/>
    <w:rsid w:val="002A61B1"/>
    <w:rsid w:val="002A663C"/>
    <w:rsid w:val="002B444B"/>
    <w:rsid w:val="002B5887"/>
    <w:rsid w:val="002C0E27"/>
    <w:rsid w:val="002C3040"/>
    <w:rsid w:val="002D022D"/>
    <w:rsid w:val="002D24BB"/>
    <w:rsid w:val="002F2AF7"/>
    <w:rsid w:val="002F7E1C"/>
    <w:rsid w:val="00301A75"/>
    <w:rsid w:val="00302F70"/>
    <w:rsid w:val="0030336F"/>
    <w:rsid w:val="0030375E"/>
    <w:rsid w:val="00312A30"/>
    <w:rsid w:val="00320F72"/>
    <w:rsid w:val="0032463E"/>
    <w:rsid w:val="00326224"/>
    <w:rsid w:val="003312A3"/>
    <w:rsid w:val="00334EC5"/>
    <w:rsid w:val="00337EE4"/>
    <w:rsid w:val="00340FFD"/>
    <w:rsid w:val="003506B1"/>
    <w:rsid w:val="00356AC7"/>
    <w:rsid w:val="003609FA"/>
    <w:rsid w:val="003710C8"/>
    <w:rsid w:val="003750BE"/>
    <w:rsid w:val="00381AF0"/>
    <w:rsid w:val="00387B9D"/>
    <w:rsid w:val="0039055E"/>
    <w:rsid w:val="0039364F"/>
    <w:rsid w:val="00396686"/>
    <w:rsid w:val="0039778E"/>
    <w:rsid w:val="003B4941"/>
    <w:rsid w:val="003C5714"/>
    <w:rsid w:val="003C6B9F"/>
    <w:rsid w:val="003C6E2A"/>
    <w:rsid w:val="003D0299"/>
    <w:rsid w:val="003E6D80"/>
    <w:rsid w:val="003E747B"/>
    <w:rsid w:val="003F05FA"/>
    <w:rsid w:val="003F244A"/>
    <w:rsid w:val="003F30B8"/>
    <w:rsid w:val="003F4C45"/>
    <w:rsid w:val="003F5F7B"/>
    <w:rsid w:val="003F7D64"/>
    <w:rsid w:val="004047FE"/>
    <w:rsid w:val="00414300"/>
    <w:rsid w:val="00425C67"/>
    <w:rsid w:val="00427E7A"/>
    <w:rsid w:val="00436C49"/>
    <w:rsid w:val="00445366"/>
    <w:rsid w:val="00447F5B"/>
    <w:rsid w:val="00461DB0"/>
    <w:rsid w:val="00463926"/>
    <w:rsid w:val="00464C9A"/>
    <w:rsid w:val="00474F3D"/>
    <w:rsid w:val="00477E3A"/>
    <w:rsid w:val="00483E5F"/>
    <w:rsid w:val="00485FF9"/>
    <w:rsid w:val="004907F0"/>
    <w:rsid w:val="0049140B"/>
    <w:rsid w:val="004923A5"/>
    <w:rsid w:val="00496BFB"/>
    <w:rsid w:val="004A15C7"/>
    <w:rsid w:val="004B013B"/>
    <w:rsid w:val="004B112B"/>
    <w:rsid w:val="004C01E4"/>
    <w:rsid w:val="004C086C"/>
    <w:rsid w:val="004C1F56"/>
    <w:rsid w:val="004C27BC"/>
    <w:rsid w:val="004D15F3"/>
    <w:rsid w:val="004D5311"/>
    <w:rsid w:val="004D5DCC"/>
    <w:rsid w:val="004F10AF"/>
    <w:rsid w:val="004F11A4"/>
    <w:rsid w:val="004F2389"/>
    <w:rsid w:val="004F304D"/>
    <w:rsid w:val="004F61BE"/>
    <w:rsid w:val="004F66B1"/>
    <w:rsid w:val="00511C07"/>
    <w:rsid w:val="005173A6"/>
    <w:rsid w:val="00520BAA"/>
    <w:rsid w:val="00525208"/>
    <w:rsid w:val="005257A5"/>
    <w:rsid w:val="005264C0"/>
    <w:rsid w:val="00526A8A"/>
    <w:rsid w:val="00531DF2"/>
    <w:rsid w:val="005442EE"/>
    <w:rsid w:val="00547353"/>
    <w:rsid w:val="005474E7"/>
    <w:rsid w:val="005512A3"/>
    <w:rsid w:val="005578CE"/>
    <w:rsid w:val="00562781"/>
    <w:rsid w:val="0057271C"/>
    <w:rsid w:val="00572845"/>
    <w:rsid w:val="00592772"/>
    <w:rsid w:val="0059574A"/>
    <w:rsid w:val="005A1B9B"/>
    <w:rsid w:val="005A6751"/>
    <w:rsid w:val="005B092E"/>
    <w:rsid w:val="005B152C"/>
    <w:rsid w:val="005B1EE0"/>
    <w:rsid w:val="005B2B24"/>
    <w:rsid w:val="005B4425"/>
    <w:rsid w:val="005B4B94"/>
    <w:rsid w:val="005C3EE8"/>
    <w:rsid w:val="005D34F9"/>
    <w:rsid w:val="005D4190"/>
    <w:rsid w:val="005D67A3"/>
    <w:rsid w:val="005E2988"/>
    <w:rsid w:val="005E3085"/>
    <w:rsid w:val="005F51E1"/>
    <w:rsid w:val="00611C80"/>
    <w:rsid w:val="00620692"/>
    <w:rsid w:val="006242CA"/>
    <w:rsid w:val="00627507"/>
    <w:rsid w:val="00633717"/>
    <w:rsid w:val="006344E1"/>
    <w:rsid w:val="006544C4"/>
    <w:rsid w:val="006545C4"/>
    <w:rsid w:val="00661971"/>
    <w:rsid w:val="00661CE8"/>
    <w:rsid w:val="006623D9"/>
    <w:rsid w:val="0066550C"/>
    <w:rsid w:val="006716F2"/>
    <w:rsid w:val="00682BF2"/>
    <w:rsid w:val="006859CE"/>
    <w:rsid w:val="00691270"/>
    <w:rsid w:val="00694BA8"/>
    <w:rsid w:val="006A037C"/>
    <w:rsid w:val="006A36F4"/>
    <w:rsid w:val="006A406F"/>
    <w:rsid w:val="006A5D3A"/>
    <w:rsid w:val="006C23D4"/>
    <w:rsid w:val="006C7BB0"/>
    <w:rsid w:val="006D3237"/>
    <w:rsid w:val="006E2E37"/>
    <w:rsid w:val="006E3CF1"/>
    <w:rsid w:val="006E7E80"/>
    <w:rsid w:val="006F19B0"/>
    <w:rsid w:val="006F453D"/>
    <w:rsid w:val="006F48CA"/>
    <w:rsid w:val="006F64DD"/>
    <w:rsid w:val="00715127"/>
    <w:rsid w:val="00715E8E"/>
    <w:rsid w:val="00723580"/>
    <w:rsid w:val="00723755"/>
    <w:rsid w:val="0073136C"/>
    <w:rsid w:val="00731F0F"/>
    <w:rsid w:val="00733250"/>
    <w:rsid w:val="00741404"/>
    <w:rsid w:val="007449E5"/>
    <w:rsid w:val="00747FF0"/>
    <w:rsid w:val="00764D4E"/>
    <w:rsid w:val="00765A1F"/>
    <w:rsid w:val="00775B6D"/>
    <w:rsid w:val="00776D68"/>
    <w:rsid w:val="007850EE"/>
    <w:rsid w:val="00785B95"/>
    <w:rsid w:val="00790E96"/>
    <w:rsid w:val="00793366"/>
    <w:rsid w:val="007A716F"/>
    <w:rsid w:val="007B270A"/>
    <w:rsid w:val="007C0695"/>
    <w:rsid w:val="007C419A"/>
    <w:rsid w:val="007C4CC8"/>
    <w:rsid w:val="007C5426"/>
    <w:rsid w:val="007C5798"/>
    <w:rsid w:val="007D4832"/>
    <w:rsid w:val="007E21B2"/>
    <w:rsid w:val="007E2C4E"/>
    <w:rsid w:val="007F1905"/>
    <w:rsid w:val="00801300"/>
    <w:rsid w:val="00802C64"/>
    <w:rsid w:val="00805E52"/>
    <w:rsid w:val="008061D0"/>
    <w:rsid w:val="00810B38"/>
    <w:rsid w:val="008204C7"/>
    <w:rsid w:val="00820992"/>
    <w:rsid w:val="00823602"/>
    <w:rsid w:val="008255F5"/>
    <w:rsid w:val="0083014E"/>
    <w:rsid w:val="0083214A"/>
    <w:rsid w:val="00834220"/>
    <w:rsid w:val="00845723"/>
    <w:rsid w:val="00851EF9"/>
    <w:rsid w:val="008577FD"/>
    <w:rsid w:val="00860B03"/>
    <w:rsid w:val="008626FD"/>
    <w:rsid w:val="0086497A"/>
    <w:rsid w:val="008713A1"/>
    <w:rsid w:val="008754AB"/>
    <w:rsid w:val="0088060C"/>
    <w:rsid w:val="00893576"/>
    <w:rsid w:val="00893E73"/>
    <w:rsid w:val="008B02DC"/>
    <w:rsid w:val="008B57CE"/>
    <w:rsid w:val="008C26DE"/>
    <w:rsid w:val="008C4AA6"/>
    <w:rsid w:val="008D2225"/>
    <w:rsid w:val="008D4752"/>
    <w:rsid w:val="008E271C"/>
    <w:rsid w:val="008E418E"/>
    <w:rsid w:val="008E5BC6"/>
    <w:rsid w:val="008E6A25"/>
    <w:rsid w:val="008F5193"/>
    <w:rsid w:val="009013A7"/>
    <w:rsid w:val="009017FB"/>
    <w:rsid w:val="009017FC"/>
    <w:rsid w:val="0090506B"/>
    <w:rsid w:val="009050C9"/>
    <w:rsid w:val="009066FC"/>
    <w:rsid w:val="009140A3"/>
    <w:rsid w:val="009144A2"/>
    <w:rsid w:val="0091510C"/>
    <w:rsid w:val="009259AC"/>
    <w:rsid w:val="00926F38"/>
    <w:rsid w:val="00934301"/>
    <w:rsid w:val="00934A97"/>
    <w:rsid w:val="00936CD1"/>
    <w:rsid w:val="00941747"/>
    <w:rsid w:val="00941EFB"/>
    <w:rsid w:val="00947AFB"/>
    <w:rsid w:val="00951D7D"/>
    <w:rsid w:val="009630C7"/>
    <w:rsid w:val="00972B55"/>
    <w:rsid w:val="009743B7"/>
    <w:rsid w:val="00977DA8"/>
    <w:rsid w:val="0098228B"/>
    <w:rsid w:val="009828DA"/>
    <w:rsid w:val="00985BAB"/>
    <w:rsid w:val="009B1B5F"/>
    <w:rsid w:val="009B6673"/>
    <w:rsid w:val="009C191B"/>
    <w:rsid w:val="009C2BD6"/>
    <w:rsid w:val="009E1F32"/>
    <w:rsid w:val="009E776C"/>
    <w:rsid w:val="00A06794"/>
    <w:rsid w:val="00A1726E"/>
    <w:rsid w:val="00A204CF"/>
    <w:rsid w:val="00A23D49"/>
    <w:rsid w:val="00A27004"/>
    <w:rsid w:val="00A30C29"/>
    <w:rsid w:val="00A34DD6"/>
    <w:rsid w:val="00A36819"/>
    <w:rsid w:val="00A36989"/>
    <w:rsid w:val="00A43628"/>
    <w:rsid w:val="00A54192"/>
    <w:rsid w:val="00A6035E"/>
    <w:rsid w:val="00A6144C"/>
    <w:rsid w:val="00A66617"/>
    <w:rsid w:val="00A671F8"/>
    <w:rsid w:val="00A673A4"/>
    <w:rsid w:val="00A724AE"/>
    <w:rsid w:val="00A73329"/>
    <w:rsid w:val="00A82359"/>
    <w:rsid w:val="00A865D2"/>
    <w:rsid w:val="00A92A8A"/>
    <w:rsid w:val="00A94C20"/>
    <w:rsid w:val="00AA227F"/>
    <w:rsid w:val="00AA3BC7"/>
    <w:rsid w:val="00AA754A"/>
    <w:rsid w:val="00AB099E"/>
    <w:rsid w:val="00AB4328"/>
    <w:rsid w:val="00AD4F05"/>
    <w:rsid w:val="00AE0A2E"/>
    <w:rsid w:val="00AE354C"/>
    <w:rsid w:val="00AF4B07"/>
    <w:rsid w:val="00AF6186"/>
    <w:rsid w:val="00AF7102"/>
    <w:rsid w:val="00AF7A3A"/>
    <w:rsid w:val="00B160DB"/>
    <w:rsid w:val="00B20836"/>
    <w:rsid w:val="00B235BB"/>
    <w:rsid w:val="00B27A44"/>
    <w:rsid w:val="00B30BBF"/>
    <w:rsid w:val="00B33C03"/>
    <w:rsid w:val="00B44E56"/>
    <w:rsid w:val="00B46543"/>
    <w:rsid w:val="00B47D33"/>
    <w:rsid w:val="00B52BE0"/>
    <w:rsid w:val="00B54133"/>
    <w:rsid w:val="00B701ED"/>
    <w:rsid w:val="00B8086C"/>
    <w:rsid w:val="00B861B4"/>
    <w:rsid w:val="00B86DFE"/>
    <w:rsid w:val="00B87FB1"/>
    <w:rsid w:val="00B90990"/>
    <w:rsid w:val="00B922FF"/>
    <w:rsid w:val="00B9281E"/>
    <w:rsid w:val="00B93925"/>
    <w:rsid w:val="00B95187"/>
    <w:rsid w:val="00BA2D55"/>
    <w:rsid w:val="00BA71B1"/>
    <w:rsid w:val="00BB0637"/>
    <w:rsid w:val="00BB345F"/>
    <w:rsid w:val="00BB68EA"/>
    <w:rsid w:val="00BC1C27"/>
    <w:rsid w:val="00BC2846"/>
    <w:rsid w:val="00BC6BBF"/>
    <w:rsid w:val="00BD1572"/>
    <w:rsid w:val="00BE14E3"/>
    <w:rsid w:val="00BE3774"/>
    <w:rsid w:val="00BE41E5"/>
    <w:rsid w:val="00BF4109"/>
    <w:rsid w:val="00BF4CC3"/>
    <w:rsid w:val="00C054C7"/>
    <w:rsid w:val="00C057B5"/>
    <w:rsid w:val="00C22687"/>
    <w:rsid w:val="00C32E4D"/>
    <w:rsid w:val="00C333A0"/>
    <w:rsid w:val="00C36408"/>
    <w:rsid w:val="00C36A81"/>
    <w:rsid w:val="00C41974"/>
    <w:rsid w:val="00C53F4A"/>
    <w:rsid w:val="00C54125"/>
    <w:rsid w:val="00C55B54"/>
    <w:rsid w:val="00C6098E"/>
    <w:rsid w:val="00C6152C"/>
    <w:rsid w:val="00C74810"/>
    <w:rsid w:val="00C90D68"/>
    <w:rsid w:val="00C939FE"/>
    <w:rsid w:val="00CA4BDA"/>
    <w:rsid w:val="00CB1F66"/>
    <w:rsid w:val="00CB2951"/>
    <w:rsid w:val="00CB35E0"/>
    <w:rsid w:val="00CD282B"/>
    <w:rsid w:val="00CD4C35"/>
    <w:rsid w:val="00CD7369"/>
    <w:rsid w:val="00CE0B0E"/>
    <w:rsid w:val="00CE3831"/>
    <w:rsid w:val="00CE6ED9"/>
    <w:rsid w:val="00D00ABB"/>
    <w:rsid w:val="00D02EEC"/>
    <w:rsid w:val="00D03551"/>
    <w:rsid w:val="00D06A63"/>
    <w:rsid w:val="00D07E0E"/>
    <w:rsid w:val="00D11478"/>
    <w:rsid w:val="00D15ED0"/>
    <w:rsid w:val="00D21B3E"/>
    <w:rsid w:val="00D21FED"/>
    <w:rsid w:val="00D24251"/>
    <w:rsid w:val="00D343E2"/>
    <w:rsid w:val="00D361A2"/>
    <w:rsid w:val="00D44C2E"/>
    <w:rsid w:val="00D45414"/>
    <w:rsid w:val="00D566BD"/>
    <w:rsid w:val="00D57A4D"/>
    <w:rsid w:val="00D60AA7"/>
    <w:rsid w:val="00D6435F"/>
    <w:rsid w:val="00D75E28"/>
    <w:rsid w:val="00D772C2"/>
    <w:rsid w:val="00D8008E"/>
    <w:rsid w:val="00D82C45"/>
    <w:rsid w:val="00D908A8"/>
    <w:rsid w:val="00D977B6"/>
    <w:rsid w:val="00DA4A31"/>
    <w:rsid w:val="00DA7B04"/>
    <w:rsid w:val="00DB36C2"/>
    <w:rsid w:val="00DC169B"/>
    <w:rsid w:val="00DC2AB9"/>
    <w:rsid w:val="00DC63F0"/>
    <w:rsid w:val="00DD6EE5"/>
    <w:rsid w:val="00DE386C"/>
    <w:rsid w:val="00DE4D35"/>
    <w:rsid w:val="00DF098B"/>
    <w:rsid w:val="00DF1114"/>
    <w:rsid w:val="00DF11C4"/>
    <w:rsid w:val="00DF210C"/>
    <w:rsid w:val="00DF4B6A"/>
    <w:rsid w:val="00E02897"/>
    <w:rsid w:val="00E02C09"/>
    <w:rsid w:val="00E04D59"/>
    <w:rsid w:val="00E07DA1"/>
    <w:rsid w:val="00E123CB"/>
    <w:rsid w:val="00E20E13"/>
    <w:rsid w:val="00E21DBC"/>
    <w:rsid w:val="00E275D7"/>
    <w:rsid w:val="00E27DBE"/>
    <w:rsid w:val="00E32AB1"/>
    <w:rsid w:val="00E36C71"/>
    <w:rsid w:val="00E40404"/>
    <w:rsid w:val="00E459C6"/>
    <w:rsid w:val="00E47589"/>
    <w:rsid w:val="00E64915"/>
    <w:rsid w:val="00E661D4"/>
    <w:rsid w:val="00E70091"/>
    <w:rsid w:val="00E720F5"/>
    <w:rsid w:val="00E76D47"/>
    <w:rsid w:val="00E849F7"/>
    <w:rsid w:val="00E8668A"/>
    <w:rsid w:val="00E90302"/>
    <w:rsid w:val="00E97396"/>
    <w:rsid w:val="00EA185E"/>
    <w:rsid w:val="00EA592A"/>
    <w:rsid w:val="00EB14E4"/>
    <w:rsid w:val="00EB32A5"/>
    <w:rsid w:val="00EB34ED"/>
    <w:rsid w:val="00EB7BE0"/>
    <w:rsid w:val="00EC315E"/>
    <w:rsid w:val="00EC78A3"/>
    <w:rsid w:val="00ED077C"/>
    <w:rsid w:val="00ED1190"/>
    <w:rsid w:val="00ED4A85"/>
    <w:rsid w:val="00ED6544"/>
    <w:rsid w:val="00EE0277"/>
    <w:rsid w:val="00EE3E00"/>
    <w:rsid w:val="00EE5DD2"/>
    <w:rsid w:val="00EF4C80"/>
    <w:rsid w:val="00F00A79"/>
    <w:rsid w:val="00F00E86"/>
    <w:rsid w:val="00F07C1E"/>
    <w:rsid w:val="00F105DB"/>
    <w:rsid w:val="00F132BC"/>
    <w:rsid w:val="00F13D80"/>
    <w:rsid w:val="00F16AAA"/>
    <w:rsid w:val="00F21161"/>
    <w:rsid w:val="00F21895"/>
    <w:rsid w:val="00F218EF"/>
    <w:rsid w:val="00F21BC7"/>
    <w:rsid w:val="00F266A2"/>
    <w:rsid w:val="00F32269"/>
    <w:rsid w:val="00F40988"/>
    <w:rsid w:val="00F469DB"/>
    <w:rsid w:val="00F56A6F"/>
    <w:rsid w:val="00F5709C"/>
    <w:rsid w:val="00F64EF1"/>
    <w:rsid w:val="00F8765F"/>
    <w:rsid w:val="00F90767"/>
    <w:rsid w:val="00FA685B"/>
    <w:rsid w:val="00FB0C01"/>
    <w:rsid w:val="00FB35E3"/>
    <w:rsid w:val="00FC18F2"/>
    <w:rsid w:val="00FC39E5"/>
    <w:rsid w:val="00FC3A78"/>
    <w:rsid w:val="00FD1005"/>
    <w:rsid w:val="00FD6C75"/>
    <w:rsid w:val="00FE71B3"/>
    <w:rsid w:val="00FF42C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iPriority="0" w:unhideWhenUsed="1"/>
    <w:lsdException w:name="index 7" w:semiHidden="1" w:unhideWhenUsed="1"/>
    <w:lsdException w:name="index 8" w:semiHidden="1" w:uiPriority="0"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0" w:unhideWhenUsed="1"/>
    <w:lsdException w:name="header" w:semiHidden="1" w:uiPriority="57" w:unhideWhenUsed="1"/>
    <w:lsdException w:name="footer" w:semiHidden="1" w:uiPriority="57" w:unhideWhenUsed="1"/>
    <w:lsdException w:name="index heading" w:semiHidden="1" w:uiPriority="0" w:unhideWhenUsed="1"/>
    <w:lsdException w:name="caption" w:semiHidden="1"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iPriority="0"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lsdException w:name="List 2" w:semiHidden="1" w:uiPriority="0" w:unhideWhenUsed="1"/>
    <w:lsdException w:name="List 3" w:semiHidden="1" w:unhideWhenUsed="1"/>
    <w:lsdException w:name="List 4" w:semiHidden="1" w:uiPriority="0"/>
    <w:lsdException w:name="List 5" w:semiHidden="1"/>
    <w:lsdException w:name="List Bullet 2" w:semiHidden="1" w:unhideWhenUsed="1"/>
    <w:lsdException w:name="List Bullet 3" w:semiHidden="1" w:uiPriority="0" w:unhideWhenUsed="1"/>
    <w:lsdException w:name="List Bullet 4" w:semiHidden="1" w:unhideWhenUsed="1"/>
    <w:lsdException w:name="List Bullet 5" w:semiHidden="1" w:uiPriority="0" w:unhideWhenUsed="1"/>
    <w:lsdException w:name="List Number 2" w:semiHidden="1" w:unhideWhenUsed="1"/>
    <w:lsdException w:name="List Number 3" w:semiHidden="1" w:uiPriority="0" w:unhideWhenUsed="1"/>
    <w:lsdException w:name="List Number 4" w:semiHidden="1" w:unhideWhenUsed="1"/>
    <w:lsdException w:name="List Number 5" w:semiHidden="1" w:uiPriority="0"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iPriority="0" w:unhideWhenUsed="1"/>
    <w:lsdException w:name="HTML Preformatted" w:semiHidden="1" w:unhideWhenUsed="1"/>
    <w:lsdException w:name="HTML Sample" w:semiHidden="1" w:uiPriority="0" w:unhideWhenUsed="1"/>
    <w:lsdException w:name="HTML Typewriter" w:semiHidden="1" w:unhideWhenUsed="1"/>
    <w:lsdException w:name="HTML Variable" w:semiHidden="1" w:uiPriority="0" w:unhideWhenUsed="1"/>
    <w:lsdException w:name="Normal Table" w:semiHidden="1" w:unhideWhenUsed="1"/>
    <w:lsdException w:name="annotation subject" w:semiHidden="1" w:uiPriority="0"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lsdException w:name="Light List" w:uiPriority="61"/>
    <w:lsdException w:name="Light Grid"/>
    <w:lsdException w:name="Medium Shading 1"/>
    <w:lsdException w:name="Medium Shading 2"/>
    <w:lsdException w:name="Medium List 1"/>
    <w:lsdException w:name="Medium List 2" w:uiPriority="66"/>
    <w:lsdException w:name="Medium Grid 1" w:uiPriority="67"/>
    <w:lsdException w:name="Medium Grid 2"/>
    <w:lsdException w:name="Medium Grid 3"/>
    <w:lsdException w:name="Dark List"/>
    <w:lsdException w:name="Colorful Shading"/>
    <w:lsdException w:name="Colorful List" w:uiPriority="72"/>
    <w:lsdException w:name="Colorful Grid"/>
    <w:lsdException w:name="Light Shading Accent 1"/>
    <w:lsdException w:name="Light List Accent 1"/>
    <w:lsdException w:name="Light Grid Accent 1" w:uiPriority="62"/>
    <w:lsdException w:name="Medium Shading 1 Accent 1" w:uiPriority="63"/>
    <w:lsdException w:name="Medium Shading 2 Accent 1"/>
    <w:lsdException w:name="Medium List 1 Accent 1" w:uiPriority="65"/>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uiPriority="68"/>
    <w:lsdException w:name="Medium Grid 3 Accent 1"/>
    <w:lsdException w:name="Dark List Accent 1"/>
    <w:lsdException w:name="Colorful Shading Accent 1"/>
    <w:lsdException w:name="Colorful List Accent 1"/>
    <w:lsdException w:name="Colorful Grid Accent 1" w:uiPriority="73"/>
    <w:lsdException w:name="Light Shading Accent 2"/>
    <w:lsdException w:name="Light List Accent 2" w:uiPriority="61"/>
    <w:lsdException w:name="Light Grid Accent 2"/>
    <w:lsdException w:name="Medium Shading 1 Accent 2"/>
    <w:lsdException w:name="Medium Shading 2 Accent 2" w:uiPriority="64"/>
    <w:lsdException w:name="Medium List 1 Accent 2"/>
    <w:lsdException w:name="Medium List 2 Accent 2" w:uiPriority="66"/>
    <w:lsdException w:name="Medium Grid 1 Accent 2"/>
    <w:lsdException w:name="Medium Grid 2 Accent 2"/>
    <w:lsdException w:name="Medium Grid 3 Accent 2" w:uiPriority="69"/>
    <w:lsdException w:name="Dark List Accent 2" w:uiPriority="70"/>
    <w:lsdException w:name="Colorful Shading Accent 2"/>
    <w:lsdException w:name="Colorful List Accent 2" w:uiPriority="72"/>
    <w:lsdException w:name="Colorful Grid Accent 2"/>
    <w:lsdException w:name="Light Shading Accent 3" w:uiPriority="60"/>
    <w:lsdException w:name="Light List Accent 3"/>
    <w:lsdException w:name="Light Grid Accent 3"/>
    <w:lsdException w:name="Medium Shading 1 Accent 3" w:uiPriority="63"/>
    <w:lsdException w:name="Medium Shading 2 Accent 3"/>
    <w:lsdException w:name="Medium List 1 Accent 3" w:uiPriority="65"/>
    <w:lsdException w:name="Medium List 2 Accent 3"/>
    <w:lsdException w:name="Medium Grid 1 Accent 3"/>
    <w:lsdException w:name="Medium Grid 2 Accent 3"/>
    <w:lsdException w:name="Medium Grid 3 Accent 3"/>
    <w:lsdException w:name="Dark List Accent 3"/>
    <w:lsdException w:name="Colorful Shading Accent 3" w:uiPriority="71"/>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uiPriority="66"/>
    <w:lsdException w:name="Medium Grid 1 Accent 4" w:uiPriority="67"/>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uiPriority="62"/>
    <w:lsdException w:name="Medium Shading 1 Accent 5" w:uiPriority="63"/>
    <w:lsdException w:name="Medium Shading 2 Accent 5"/>
    <w:lsdException w:name="Medium List 1 Accent 5"/>
    <w:lsdException w:name="Medium List 2 Accent 5"/>
    <w:lsdException w:name="Medium Grid 1 Accent 5"/>
    <w:lsdException w:name="Medium Grid 2 Accent 5" w:uiPriority="68"/>
    <w:lsdException w:name="Medium Grid 3 Accent 5"/>
    <w:lsdException w:name="Dark List Accent 5"/>
    <w:lsdException w:name="Colorful Shading Accent 5"/>
    <w:lsdException w:name="Colorful List Accent 5"/>
    <w:lsdException w:name="Colorful Grid Accent 5" w:uiPriority="73"/>
    <w:lsdException w:name="Light Shading Accent 6"/>
    <w:lsdException w:name="Light List Accent 6" w:uiPriority="61"/>
    <w:lsdException w:name="Light Grid Accent 6"/>
    <w:lsdException w:name="Medium Shading 1 Accent 6"/>
    <w:lsdException w:name="Medium Shading 2 Accent 6" w:uiPriority="64"/>
    <w:lsdException w:name="Medium List 1 Accent 6"/>
    <w:lsdException w:name="Medium List 2 Accent 6"/>
    <w:lsdException w:name="Medium Grid 1 Accent 6" w:uiPriority="67"/>
    <w:lsdException w:name="Medium Grid 2 Accent 6"/>
    <w:lsdException w:name="Medium Grid 3 Accent 6" w:uiPriority="69"/>
    <w:lsdException w:name="Dark List Accent 6" w:uiPriority="70"/>
    <w:lsdException w:name="Colorful Shading Accent 6"/>
    <w:lsdException w:name="Colorful List Accent 6" w:uiPriority="72"/>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semiHidden/>
    <w:rsid w:val="006544C4"/>
    <w:pPr>
      <w:jc w:val="both"/>
    </w:pPr>
    <w:rPr>
      <w:rFonts w:eastAsiaTheme="minorEastAsia"/>
      <w:sz w:val="24"/>
    </w:rPr>
  </w:style>
  <w:style w:type="paragraph" w:styleId="Titolo1">
    <w:name w:val="heading 1"/>
    <w:basedOn w:val="Normale"/>
    <w:next w:val="Normale"/>
    <w:link w:val="Titolo1Carattere"/>
    <w:uiPriority w:val="99"/>
    <w:semiHidden/>
    <w:rsid w:val="00941747"/>
    <w:pPr>
      <w:spacing w:before="480"/>
      <w:contextualSpacing/>
      <w:outlineLvl w:val="0"/>
    </w:pPr>
    <w:rPr>
      <w:rFonts w:asciiTheme="majorHAnsi" w:eastAsiaTheme="majorEastAsia" w:hAnsiTheme="majorHAnsi" w:cstheme="majorBidi"/>
      <w:b/>
      <w:bCs/>
      <w:color w:val="333333"/>
      <w:sz w:val="28"/>
      <w:szCs w:val="28"/>
    </w:rPr>
  </w:style>
  <w:style w:type="paragraph" w:styleId="Titolo2">
    <w:name w:val="heading 2"/>
    <w:basedOn w:val="Normale"/>
    <w:next w:val="Normale"/>
    <w:link w:val="Titolo2Carattere"/>
    <w:uiPriority w:val="99"/>
    <w:semiHidden/>
    <w:rsid w:val="00941747"/>
    <w:pPr>
      <w:spacing w:before="200"/>
      <w:outlineLvl w:val="1"/>
    </w:pPr>
    <w:rPr>
      <w:rFonts w:asciiTheme="majorHAnsi" w:eastAsiaTheme="majorEastAsia" w:hAnsiTheme="majorHAnsi" w:cstheme="majorBidi"/>
      <w:b/>
      <w:bCs/>
      <w:color w:val="4D4D4D"/>
      <w:sz w:val="26"/>
      <w:szCs w:val="26"/>
    </w:rPr>
  </w:style>
  <w:style w:type="paragraph" w:styleId="Titolo3">
    <w:name w:val="heading 3"/>
    <w:basedOn w:val="Normale"/>
    <w:next w:val="Normale"/>
    <w:link w:val="Titolo3Carattere"/>
    <w:uiPriority w:val="99"/>
    <w:semiHidden/>
    <w:rsid w:val="00941747"/>
    <w:pPr>
      <w:spacing w:before="200" w:line="271" w:lineRule="auto"/>
      <w:outlineLvl w:val="2"/>
    </w:pPr>
    <w:rPr>
      <w:rFonts w:asciiTheme="majorHAnsi" w:eastAsiaTheme="majorEastAsia" w:hAnsiTheme="majorHAnsi" w:cstheme="majorBidi"/>
      <w:b/>
      <w:bCs/>
      <w:color w:val="5F5F5F"/>
    </w:rPr>
  </w:style>
  <w:style w:type="paragraph" w:styleId="Titolo4">
    <w:name w:val="heading 4"/>
    <w:basedOn w:val="Normale"/>
    <w:next w:val="Normale"/>
    <w:link w:val="Titolo4Carattere"/>
    <w:uiPriority w:val="99"/>
    <w:semiHidden/>
    <w:rsid w:val="00941747"/>
    <w:pPr>
      <w:spacing w:before="200"/>
      <w:outlineLvl w:val="3"/>
    </w:pPr>
    <w:rPr>
      <w:rFonts w:asciiTheme="majorHAnsi" w:eastAsiaTheme="majorEastAsia" w:hAnsiTheme="majorHAnsi" w:cstheme="majorBidi"/>
      <w:b/>
      <w:bCs/>
      <w:i/>
      <w:iCs/>
      <w:color w:val="777777"/>
    </w:rPr>
  </w:style>
  <w:style w:type="paragraph" w:styleId="Titolo5">
    <w:name w:val="heading 5"/>
    <w:basedOn w:val="Normale"/>
    <w:next w:val="Normale"/>
    <w:link w:val="Titolo5Carattere"/>
    <w:uiPriority w:val="99"/>
    <w:semiHidden/>
    <w:qFormat/>
    <w:rsid w:val="006544C4"/>
    <w:pPr>
      <w:spacing w:before="200"/>
      <w:outlineLvl w:val="4"/>
    </w:pPr>
    <w:rPr>
      <w:rFonts w:asciiTheme="majorHAnsi" w:eastAsiaTheme="majorEastAsia" w:hAnsiTheme="majorHAnsi" w:cstheme="majorBidi"/>
      <w:b/>
      <w:bCs/>
      <w:color w:val="808080"/>
      <w:sz w:val="22"/>
    </w:rPr>
  </w:style>
  <w:style w:type="paragraph" w:styleId="Titolo6">
    <w:name w:val="heading 6"/>
    <w:basedOn w:val="Normale"/>
    <w:next w:val="Normale"/>
    <w:link w:val="Titolo6Carattere"/>
    <w:uiPriority w:val="99"/>
    <w:semiHidden/>
    <w:rsid w:val="00941747"/>
    <w:pPr>
      <w:spacing w:line="271" w:lineRule="auto"/>
      <w:outlineLvl w:val="5"/>
    </w:pPr>
    <w:rPr>
      <w:rFonts w:asciiTheme="majorHAnsi" w:eastAsiaTheme="majorEastAsia" w:hAnsiTheme="majorHAnsi" w:cstheme="majorBidi"/>
      <w:b/>
      <w:bCs/>
      <w:i/>
      <w:iCs/>
      <w:color w:val="7F7F7F" w:themeColor="text1" w:themeTint="80"/>
      <w:lang w:bidi="en-US"/>
    </w:rPr>
  </w:style>
  <w:style w:type="paragraph" w:styleId="Titolo7">
    <w:name w:val="heading 7"/>
    <w:basedOn w:val="Normale"/>
    <w:next w:val="Normale"/>
    <w:link w:val="Titolo7Carattere"/>
    <w:uiPriority w:val="99"/>
    <w:semiHidden/>
    <w:qFormat/>
    <w:rsid w:val="006544C4"/>
    <w:pPr>
      <w:outlineLvl w:val="6"/>
    </w:pPr>
    <w:rPr>
      <w:rFonts w:asciiTheme="majorHAnsi" w:eastAsiaTheme="majorEastAsia" w:hAnsiTheme="majorHAnsi" w:cstheme="majorBidi"/>
      <w:i/>
      <w:iCs/>
      <w:sz w:val="22"/>
      <w:lang w:bidi="en-US"/>
    </w:rPr>
  </w:style>
  <w:style w:type="paragraph" w:styleId="Titolo8">
    <w:name w:val="heading 8"/>
    <w:basedOn w:val="Normale"/>
    <w:next w:val="Normale"/>
    <w:link w:val="Titolo8Carattere"/>
    <w:uiPriority w:val="99"/>
    <w:semiHidden/>
    <w:qFormat/>
    <w:rsid w:val="006544C4"/>
    <w:pPr>
      <w:outlineLvl w:val="7"/>
    </w:pPr>
    <w:rPr>
      <w:rFonts w:asciiTheme="majorHAnsi" w:eastAsiaTheme="majorEastAsia" w:hAnsiTheme="majorHAnsi" w:cstheme="majorBidi"/>
      <w:sz w:val="20"/>
      <w:szCs w:val="20"/>
      <w:lang w:bidi="en-US"/>
    </w:rPr>
  </w:style>
  <w:style w:type="paragraph" w:styleId="Titolo9">
    <w:name w:val="heading 9"/>
    <w:basedOn w:val="Normale"/>
    <w:next w:val="Normale"/>
    <w:link w:val="Titolo9Carattere"/>
    <w:uiPriority w:val="99"/>
    <w:semiHidden/>
    <w:qFormat/>
    <w:rsid w:val="006544C4"/>
    <w:pPr>
      <w:outlineLvl w:val="8"/>
    </w:pPr>
    <w:rPr>
      <w:rFonts w:asciiTheme="majorHAnsi" w:eastAsiaTheme="majorEastAsia" w:hAnsiTheme="majorHAnsi" w:cstheme="majorBidi"/>
      <w:i/>
      <w:iCs/>
      <w:spacing w:val="5"/>
      <w:sz w:val="20"/>
      <w:szCs w:val="20"/>
      <w:lang w:bidi="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rsid w:val="0094174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671F8"/>
    <w:rPr>
      <w:rFonts w:ascii="Tahoma" w:eastAsiaTheme="minorEastAsia" w:hAnsi="Tahoma" w:cs="Tahoma"/>
      <w:sz w:val="16"/>
      <w:szCs w:val="16"/>
    </w:rPr>
  </w:style>
  <w:style w:type="character" w:styleId="Titolodellibro">
    <w:name w:val="Book Title"/>
    <w:uiPriority w:val="99"/>
    <w:semiHidden/>
    <w:qFormat/>
    <w:rsid w:val="006544C4"/>
    <w:rPr>
      <w:i/>
      <w:iCs/>
      <w:smallCaps/>
      <w:spacing w:val="5"/>
    </w:rPr>
  </w:style>
  <w:style w:type="paragraph" w:customStyle="1" w:styleId="ECHRHeader">
    <w:name w:val="ECHR_Header"/>
    <w:aliases w:val="Ju_Header"/>
    <w:basedOn w:val="Intestazione"/>
    <w:uiPriority w:val="4"/>
    <w:qFormat/>
    <w:rsid w:val="006544C4"/>
    <w:pPr>
      <w:tabs>
        <w:tab w:val="clear" w:pos="4536"/>
        <w:tab w:val="clear" w:pos="9696"/>
        <w:tab w:val="center" w:pos="3686"/>
        <w:tab w:val="right" w:pos="7371"/>
      </w:tabs>
      <w:ind w:left="0" w:right="0"/>
      <w:jc w:val="left"/>
    </w:pPr>
    <w:rPr>
      <w:rFonts w:eastAsiaTheme="minorHAnsi"/>
      <w:sz w:val="18"/>
    </w:rPr>
  </w:style>
  <w:style w:type="paragraph" w:customStyle="1" w:styleId="JuAppQuestion">
    <w:name w:val="Ju_App_Question"/>
    <w:basedOn w:val="Normale"/>
    <w:uiPriority w:val="5"/>
    <w:qFormat/>
    <w:rsid w:val="006544C4"/>
    <w:pPr>
      <w:numPr>
        <w:numId w:val="11"/>
      </w:numPr>
      <w:jc w:val="left"/>
    </w:pPr>
    <w:rPr>
      <w:b/>
    </w:rPr>
  </w:style>
  <w:style w:type="character" w:styleId="Enfasigrassetto">
    <w:name w:val="Strong"/>
    <w:uiPriority w:val="99"/>
    <w:semiHidden/>
    <w:qFormat/>
    <w:rsid w:val="006544C4"/>
    <w:rPr>
      <w:b/>
      <w:bCs/>
    </w:rPr>
  </w:style>
  <w:style w:type="paragraph" w:styleId="Nessunaspaziatura">
    <w:name w:val="No Spacing"/>
    <w:basedOn w:val="Normale"/>
    <w:link w:val="NessunaspaziaturaCarattere"/>
    <w:semiHidden/>
    <w:qFormat/>
    <w:rsid w:val="006544C4"/>
    <w:rPr>
      <w:sz w:val="22"/>
    </w:rPr>
  </w:style>
  <w:style w:type="character" w:customStyle="1" w:styleId="NessunaspaziaturaCarattere">
    <w:name w:val="Nessuna spaziatura Carattere"/>
    <w:basedOn w:val="Carpredefinitoparagrafo"/>
    <w:link w:val="Nessunaspaziatura"/>
    <w:semiHidden/>
    <w:rsid w:val="006544C4"/>
    <w:rPr>
      <w:rFonts w:eastAsiaTheme="minorEastAsia"/>
    </w:rPr>
  </w:style>
  <w:style w:type="paragraph" w:customStyle="1" w:styleId="OpiPara">
    <w:name w:val="Opi_Para"/>
    <w:basedOn w:val="Normale"/>
    <w:uiPriority w:val="46"/>
    <w:semiHidden/>
    <w:qFormat/>
    <w:rsid w:val="004047FE"/>
    <w:pPr>
      <w:ind w:firstLine="284"/>
    </w:pPr>
  </w:style>
  <w:style w:type="paragraph" w:customStyle="1" w:styleId="ECHRParaQuote">
    <w:name w:val="ECHR_Para_Quote"/>
    <w:aliases w:val="Ju_Quot"/>
    <w:basedOn w:val="Normale"/>
    <w:uiPriority w:val="14"/>
    <w:qFormat/>
    <w:rsid w:val="006544C4"/>
    <w:pPr>
      <w:spacing w:before="120" w:after="120"/>
      <w:ind w:left="425" w:firstLine="142"/>
    </w:pPr>
    <w:rPr>
      <w:sz w:val="20"/>
    </w:rPr>
  </w:style>
  <w:style w:type="paragraph" w:customStyle="1" w:styleId="JuParaSub">
    <w:name w:val="Ju_Para_Sub"/>
    <w:basedOn w:val="Normale"/>
    <w:uiPriority w:val="13"/>
    <w:qFormat/>
    <w:rsid w:val="004047FE"/>
    <w:pPr>
      <w:ind w:left="284" w:firstLine="284"/>
    </w:pPr>
  </w:style>
  <w:style w:type="paragraph" w:customStyle="1" w:styleId="OpiParaSub">
    <w:name w:val="Opi_Para_Sub"/>
    <w:basedOn w:val="JuParaSub"/>
    <w:uiPriority w:val="47"/>
    <w:semiHidden/>
    <w:qFormat/>
    <w:rsid w:val="006544C4"/>
  </w:style>
  <w:style w:type="paragraph" w:customStyle="1" w:styleId="OpiQuot">
    <w:name w:val="Opi_Quot"/>
    <w:basedOn w:val="ECHRParaQuote"/>
    <w:uiPriority w:val="48"/>
    <w:semiHidden/>
    <w:qFormat/>
    <w:rsid w:val="006544C4"/>
  </w:style>
  <w:style w:type="paragraph" w:customStyle="1" w:styleId="OpiQuotSub">
    <w:name w:val="Opi_Quot_Sub"/>
    <w:basedOn w:val="JuQuotSub"/>
    <w:uiPriority w:val="49"/>
    <w:semiHidden/>
    <w:qFormat/>
    <w:rsid w:val="006544C4"/>
  </w:style>
  <w:style w:type="paragraph" w:customStyle="1" w:styleId="ECHRTitleCentre3">
    <w:name w:val="ECHR_Title_Centre_3"/>
    <w:aliases w:val="Ju_H_Article"/>
    <w:basedOn w:val="Normale"/>
    <w:next w:val="ECHRParaQuote"/>
    <w:uiPriority w:val="27"/>
    <w:qFormat/>
    <w:rsid w:val="006544C4"/>
    <w:pPr>
      <w:keepNext/>
      <w:keepLines/>
      <w:spacing w:before="240" w:after="120"/>
      <w:jc w:val="center"/>
      <w:outlineLvl w:val="3"/>
    </w:pPr>
    <w:rPr>
      <w:rFonts w:asciiTheme="majorHAnsi" w:hAnsiTheme="majorHAnsi"/>
      <w:b/>
      <w:sz w:val="20"/>
      <w:lang w:bidi="en-US"/>
    </w:rPr>
  </w:style>
  <w:style w:type="paragraph" w:customStyle="1" w:styleId="ECHRTitleCentre1">
    <w:name w:val="ECHR_Title_Centre_1"/>
    <w:aliases w:val="Opi_H_Head"/>
    <w:basedOn w:val="Normale"/>
    <w:next w:val="OpiPara"/>
    <w:uiPriority w:val="39"/>
    <w:semiHidden/>
    <w:qFormat/>
    <w:rsid w:val="006544C4"/>
    <w:pPr>
      <w:keepNext/>
      <w:keepLines/>
      <w:spacing w:after="240"/>
      <w:jc w:val="center"/>
      <w:outlineLvl w:val="0"/>
    </w:pPr>
    <w:rPr>
      <w:rFonts w:asciiTheme="majorHAnsi" w:hAnsiTheme="majorHAnsi"/>
      <w:sz w:val="28"/>
    </w:rPr>
  </w:style>
  <w:style w:type="paragraph" w:customStyle="1" w:styleId="JuQuotSub">
    <w:name w:val="Ju_Quot_Sub"/>
    <w:basedOn w:val="ECHRParaQuote"/>
    <w:uiPriority w:val="15"/>
    <w:qFormat/>
    <w:rsid w:val="006544C4"/>
    <w:pPr>
      <w:ind w:left="567"/>
    </w:pPr>
  </w:style>
  <w:style w:type="paragraph" w:customStyle="1" w:styleId="ECHRTitle1">
    <w:name w:val="ECHR_Title_1"/>
    <w:aliases w:val="Ju_H_Head"/>
    <w:basedOn w:val="Normale"/>
    <w:next w:val="Normale"/>
    <w:uiPriority w:val="18"/>
    <w:qFormat/>
    <w:rsid w:val="006544C4"/>
    <w:pPr>
      <w:keepNext/>
      <w:keepLines/>
      <w:spacing w:before="720" w:after="240"/>
      <w:outlineLvl w:val="0"/>
    </w:pPr>
    <w:rPr>
      <w:rFonts w:asciiTheme="majorHAnsi" w:hAnsiTheme="majorHAnsi"/>
      <w:sz w:val="28"/>
    </w:rPr>
  </w:style>
  <w:style w:type="paragraph" w:customStyle="1" w:styleId="JuInitialled">
    <w:name w:val="Ju_Initialled"/>
    <w:basedOn w:val="Normale"/>
    <w:uiPriority w:val="31"/>
    <w:qFormat/>
    <w:rsid w:val="006544C4"/>
    <w:pPr>
      <w:tabs>
        <w:tab w:val="center" w:pos="6407"/>
      </w:tabs>
      <w:spacing w:before="720"/>
      <w:jc w:val="right"/>
    </w:pPr>
  </w:style>
  <w:style w:type="paragraph" w:styleId="Titolo">
    <w:name w:val="Title"/>
    <w:basedOn w:val="Normale"/>
    <w:next w:val="Normale"/>
    <w:link w:val="TitoloCarattere"/>
    <w:uiPriority w:val="99"/>
    <w:semiHidden/>
    <w:qFormat/>
    <w:rsid w:val="006544C4"/>
    <w:pPr>
      <w:pBdr>
        <w:bottom w:val="single" w:sz="4" w:space="1" w:color="auto"/>
      </w:pBdr>
      <w:contextualSpacing/>
    </w:pPr>
    <w:rPr>
      <w:rFonts w:asciiTheme="majorHAnsi" w:eastAsiaTheme="majorEastAsia" w:hAnsiTheme="majorHAnsi" w:cstheme="majorBidi"/>
      <w:spacing w:val="5"/>
      <w:sz w:val="52"/>
      <w:szCs w:val="52"/>
      <w:lang w:bidi="en-US"/>
    </w:rPr>
  </w:style>
  <w:style w:type="character" w:customStyle="1" w:styleId="TitoloCarattere">
    <w:name w:val="Titolo Carattere"/>
    <w:basedOn w:val="Carpredefinitoparagrafo"/>
    <w:link w:val="Titolo"/>
    <w:uiPriority w:val="99"/>
    <w:semiHidden/>
    <w:rsid w:val="006544C4"/>
    <w:rPr>
      <w:rFonts w:asciiTheme="majorHAnsi" w:eastAsiaTheme="majorEastAsia" w:hAnsiTheme="majorHAnsi" w:cstheme="majorBidi"/>
      <w:spacing w:val="5"/>
      <w:sz w:val="52"/>
      <w:szCs w:val="52"/>
      <w:lang w:bidi="en-US"/>
    </w:rPr>
  </w:style>
  <w:style w:type="paragraph" w:customStyle="1" w:styleId="OpiHA">
    <w:name w:val="Opi_H_A"/>
    <w:basedOn w:val="ECHRHeading1"/>
    <w:next w:val="OpiPara"/>
    <w:uiPriority w:val="41"/>
    <w:semiHidden/>
    <w:qFormat/>
    <w:rsid w:val="006544C4"/>
    <w:pPr>
      <w:tabs>
        <w:tab w:val="clear" w:pos="357"/>
      </w:tabs>
      <w:outlineLvl w:val="1"/>
    </w:pPr>
    <w:rPr>
      <w:b/>
    </w:rPr>
  </w:style>
  <w:style w:type="character" w:customStyle="1" w:styleId="JUNAMES">
    <w:name w:val="JU_NAMES"/>
    <w:uiPriority w:val="17"/>
    <w:qFormat/>
    <w:rsid w:val="006544C4"/>
    <w:rPr>
      <w:caps w:val="0"/>
      <w:smallCaps/>
    </w:rPr>
  </w:style>
  <w:style w:type="character" w:customStyle="1" w:styleId="JuITMark">
    <w:name w:val="Ju_ITMark"/>
    <w:basedOn w:val="Carpredefinitoparagrafo"/>
    <w:uiPriority w:val="38"/>
    <w:qFormat/>
    <w:rsid w:val="006544C4"/>
    <w:rPr>
      <w:vanish/>
      <w:color w:val="339966"/>
      <w:sz w:val="14"/>
    </w:rPr>
  </w:style>
  <w:style w:type="paragraph" w:customStyle="1" w:styleId="OpiTranslation">
    <w:name w:val="Opi_Translation"/>
    <w:basedOn w:val="Normale"/>
    <w:next w:val="OpiPara"/>
    <w:uiPriority w:val="40"/>
    <w:semiHidden/>
    <w:qFormat/>
    <w:rsid w:val="006544C4"/>
    <w:pPr>
      <w:jc w:val="center"/>
      <w:outlineLvl w:val="0"/>
    </w:pPr>
    <w:rPr>
      <w:i/>
    </w:rPr>
  </w:style>
  <w:style w:type="paragraph" w:customStyle="1" w:styleId="JuCourt">
    <w:name w:val="Ju_Court"/>
    <w:basedOn w:val="Normale"/>
    <w:next w:val="Normale"/>
    <w:uiPriority w:val="16"/>
    <w:qFormat/>
    <w:rsid w:val="006544C4"/>
    <w:pPr>
      <w:tabs>
        <w:tab w:val="left" w:pos="907"/>
        <w:tab w:val="left" w:pos="1701"/>
        <w:tab w:val="right" w:pos="7371"/>
      </w:tabs>
      <w:spacing w:before="240"/>
      <w:ind w:left="397" w:hanging="397"/>
      <w:jc w:val="left"/>
    </w:pPr>
    <w:rPr>
      <w:lang w:bidi="en-US"/>
    </w:rPr>
  </w:style>
  <w:style w:type="paragraph" w:customStyle="1" w:styleId="ECHRHeading1">
    <w:name w:val="ECHR_Heading_1"/>
    <w:aliases w:val="Ju_H_I_Roman"/>
    <w:basedOn w:val="Titolo1"/>
    <w:next w:val="Normale"/>
    <w:uiPriority w:val="19"/>
    <w:qFormat/>
    <w:rsid w:val="006544C4"/>
    <w:pPr>
      <w:keepNext/>
      <w:keepLines/>
      <w:tabs>
        <w:tab w:val="left" w:pos="357"/>
      </w:tabs>
      <w:spacing w:before="360" w:after="240"/>
      <w:ind w:left="357" w:hanging="357"/>
      <w:contextualSpacing w:val="0"/>
    </w:pPr>
    <w:rPr>
      <w:b w:val="0"/>
      <w:color w:val="auto"/>
      <w:sz w:val="24"/>
    </w:rPr>
  </w:style>
  <w:style w:type="paragraph" w:customStyle="1" w:styleId="ECHRHeading2">
    <w:name w:val="ECHR_Heading_2"/>
    <w:aliases w:val="Ju_H_A"/>
    <w:basedOn w:val="Titolo2"/>
    <w:next w:val="Normale"/>
    <w:uiPriority w:val="20"/>
    <w:qFormat/>
    <w:rsid w:val="006544C4"/>
    <w:pPr>
      <w:keepNext/>
      <w:keepLines/>
      <w:tabs>
        <w:tab w:val="left" w:pos="584"/>
      </w:tabs>
      <w:spacing w:before="360" w:after="240"/>
      <w:ind w:left="584" w:hanging="352"/>
    </w:pPr>
    <w:rPr>
      <w:color w:val="auto"/>
      <w:sz w:val="24"/>
    </w:rPr>
  </w:style>
  <w:style w:type="paragraph" w:customStyle="1" w:styleId="ECHRHeading3">
    <w:name w:val="ECHR_Heading_3"/>
    <w:aliases w:val="Ju_H_1."/>
    <w:basedOn w:val="Titolo3"/>
    <w:next w:val="Normale"/>
    <w:uiPriority w:val="21"/>
    <w:qFormat/>
    <w:rsid w:val="006544C4"/>
    <w:pPr>
      <w:keepNext/>
      <w:keepLines/>
      <w:tabs>
        <w:tab w:val="left" w:pos="731"/>
      </w:tabs>
      <w:spacing w:before="240" w:after="120" w:line="240" w:lineRule="auto"/>
      <w:ind w:left="732" w:hanging="301"/>
    </w:pPr>
    <w:rPr>
      <w:b w:val="0"/>
      <w:i/>
      <w:color w:val="auto"/>
    </w:rPr>
  </w:style>
  <w:style w:type="paragraph" w:styleId="Intestazione">
    <w:name w:val="header"/>
    <w:basedOn w:val="Normale"/>
    <w:link w:val="IntestazioneCarattere"/>
    <w:uiPriority w:val="57"/>
    <w:semiHidden/>
    <w:rsid w:val="00941747"/>
    <w:pPr>
      <w:tabs>
        <w:tab w:val="center" w:pos="4536"/>
        <w:tab w:val="right" w:pos="9696"/>
      </w:tabs>
      <w:ind w:left="-680" w:right="-680"/>
    </w:pPr>
  </w:style>
  <w:style w:type="character" w:customStyle="1" w:styleId="IntestazioneCarattere">
    <w:name w:val="Intestazione Carattere"/>
    <w:basedOn w:val="Carpredefinitoparagrafo"/>
    <w:link w:val="Intestazione"/>
    <w:uiPriority w:val="57"/>
    <w:semiHidden/>
    <w:rsid w:val="008D4752"/>
  </w:style>
  <w:style w:type="character" w:customStyle="1" w:styleId="Titolo1Carattere">
    <w:name w:val="Titolo 1 Carattere"/>
    <w:basedOn w:val="Carpredefinitoparagrafo"/>
    <w:link w:val="Titolo1"/>
    <w:uiPriority w:val="99"/>
    <w:semiHidden/>
    <w:rsid w:val="00A671F8"/>
    <w:rPr>
      <w:rFonts w:asciiTheme="majorHAnsi" w:eastAsiaTheme="majorEastAsia" w:hAnsiTheme="majorHAnsi" w:cstheme="majorBidi"/>
      <w:b/>
      <w:bCs/>
      <w:color w:val="333333"/>
      <w:sz w:val="28"/>
      <w:szCs w:val="28"/>
    </w:rPr>
  </w:style>
  <w:style w:type="paragraph" w:customStyle="1" w:styleId="ECHRHeading4">
    <w:name w:val="ECHR_Heading_4"/>
    <w:aliases w:val="Ju_H_a"/>
    <w:basedOn w:val="Titolo4"/>
    <w:next w:val="Normale"/>
    <w:uiPriority w:val="22"/>
    <w:qFormat/>
    <w:rsid w:val="006544C4"/>
    <w:pPr>
      <w:keepNext/>
      <w:keepLines/>
      <w:tabs>
        <w:tab w:val="left" w:pos="975"/>
      </w:tabs>
      <w:spacing w:before="240" w:after="120"/>
      <w:ind w:left="975" w:hanging="340"/>
    </w:pPr>
    <w:rPr>
      <w:i w:val="0"/>
      <w:color w:val="auto"/>
      <w:sz w:val="20"/>
    </w:rPr>
  </w:style>
  <w:style w:type="paragraph" w:customStyle="1" w:styleId="ECHRHeading5">
    <w:name w:val="ECHR_Heading_5"/>
    <w:aliases w:val="Ju_H_i"/>
    <w:basedOn w:val="Titolo5"/>
    <w:next w:val="Normale"/>
    <w:uiPriority w:val="23"/>
    <w:qFormat/>
    <w:rsid w:val="006544C4"/>
    <w:pPr>
      <w:keepNext/>
      <w:keepLines/>
      <w:tabs>
        <w:tab w:val="left" w:pos="1191"/>
      </w:tabs>
      <w:spacing w:before="240" w:after="120"/>
      <w:ind w:left="1190" w:hanging="357"/>
    </w:pPr>
    <w:rPr>
      <w:b w:val="0"/>
      <w:i/>
      <w:color w:val="auto"/>
      <w:sz w:val="20"/>
    </w:rPr>
  </w:style>
  <w:style w:type="character" w:customStyle="1" w:styleId="Titolo2Carattere">
    <w:name w:val="Titolo 2 Carattere"/>
    <w:basedOn w:val="Carpredefinitoparagrafo"/>
    <w:link w:val="Titolo2"/>
    <w:uiPriority w:val="99"/>
    <w:semiHidden/>
    <w:rsid w:val="00A671F8"/>
    <w:rPr>
      <w:rFonts w:asciiTheme="majorHAnsi" w:eastAsiaTheme="majorEastAsia" w:hAnsiTheme="majorHAnsi" w:cstheme="majorBidi"/>
      <w:b/>
      <w:bCs/>
      <w:color w:val="4D4D4D"/>
      <w:sz w:val="26"/>
      <w:szCs w:val="26"/>
    </w:rPr>
  </w:style>
  <w:style w:type="paragraph" w:customStyle="1" w:styleId="ECHRHeading6">
    <w:name w:val="ECHR_Heading_6"/>
    <w:aliases w:val="Ju_H_alpha"/>
    <w:basedOn w:val="Titolo6"/>
    <w:next w:val="Normale"/>
    <w:uiPriority w:val="24"/>
    <w:qFormat/>
    <w:rsid w:val="006544C4"/>
    <w:pPr>
      <w:keepNext/>
      <w:keepLines/>
      <w:tabs>
        <w:tab w:val="left" w:pos="1372"/>
      </w:tabs>
      <w:spacing w:before="240" w:after="120" w:line="240" w:lineRule="auto"/>
      <w:ind w:left="1373" w:hanging="335"/>
    </w:pPr>
    <w:rPr>
      <w:b w:val="0"/>
      <w:color w:val="auto"/>
      <w:sz w:val="20"/>
    </w:rPr>
  </w:style>
  <w:style w:type="paragraph" w:customStyle="1" w:styleId="ECHRHeading7">
    <w:name w:val="ECHR_Heading_7"/>
    <w:aliases w:val="Ju_H_–"/>
    <w:basedOn w:val="Titolo7"/>
    <w:next w:val="Normale"/>
    <w:uiPriority w:val="25"/>
    <w:qFormat/>
    <w:rsid w:val="006544C4"/>
    <w:pPr>
      <w:keepNext/>
      <w:keepLines/>
      <w:spacing w:before="240" w:after="120"/>
      <w:ind w:left="1236"/>
    </w:pPr>
    <w:rPr>
      <w:sz w:val="20"/>
    </w:rPr>
  </w:style>
  <w:style w:type="character" w:customStyle="1" w:styleId="Titolo3Carattere">
    <w:name w:val="Titolo 3 Carattere"/>
    <w:basedOn w:val="Carpredefinitoparagrafo"/>
    <w:link w:val="Titolo3"/>
    <w:uiPriority w:val="99"/>
    <w:semiHidden/>
    <w:rsid w:val="00A671F8"/>
    <w:rPr>
      <w:rFonts w:asciiTheme="majorHAnsi" w:eastAsiaTheme="majorEastAsia" w:hAnsiTheme="majorHAnsi" w:cstheme="majorBidi"/>
      <w:b/>
      <w:bCs/>
      <w:color w:val="5F5F5F"/>
    </w:rPr>
  </w:style>
  <w:style w:type="paragraph" w:customStyle="1" w:styleId="JuParaLast">
    <w:name w:val="Ju_Para_Last"/>
    <w:basedOn w:val="Normale"/>
    <w:next w:val="Normale"/>
    <w:uiPriority w:val="30"/>
    <w:qFormat/>
    <w:rsid w:val="006544C4"/>
    <w:pPr>
      <w:keepNext/>
      <w:keepLines/>
      <w:spacing w:before="240"/>
      <w:ind w:firstLine="284"/>
    </w:pPr>
  </w:style>
  <w:style w:type="paragraph" w:customStyle="1" w:styleId="DecList">
    <w:name w:val="Dec_List"/>
    <w:basedOn w:val="Normale"/>
    <w:uiPriority w:val="9"/>
    <w:qFormat/>
    <w:rsid w:val="006544C4"/>
    <w:pPr>
      <w:spacing w:before="240"/>
      <w:ind w:left="284"/>
    </w:pPr>
  </w:style>
  <w:style w:type="character" w:customStyle="1" w:styleId="Titolo4Carattere">
    <w:name w:val="Titolo 4 Carattere"/>
    <w:basedOn w:val="Carpredefinitoparagrafo"/>
    <w:link w:val="Titolo4"/>
    <w:uiPriority w:val="99"/>
    <w:semiHidden/>
    <w:rsid w:val="00A671F8"/>
    <w:rPr>
      <w:rFonts w:asciiTheme="majorHAnsi" w:eastAsiaTheme="majorEastAsia" w:hAnsiTheme="majorHAnsi" w:cstheme="majorBidi"/>
      <w:b/>
      <w:bCs/>
      <w:i/>
      <w:iCs/>
      <w:color w:val="777777"/>
    </w:rPr>
  </w:style>
  <w:style w:type="paragraph" w:customStyle="1" w:styleId="ECHRDecisionBody">
    <w:name w:val="ECHR_Decision_Body"/>
    <w:aliases w:val="Ju_Judges"/>
    <w:basedOn w:val="Normale"/>
    <w:uiPriority w:val="11"/>
    <w:qFormat/>
    <w:rsid w:val="006544C4"/>
    <w:pPr>
      <w:tabs>
        <w:tab w:val="left" w:pos="567"/>
        <w:tab w:val="left" w:pos="1134"/>
      </w:tabs>
      <w:jc w:val="left"/>
    </w:pPr>
  </w:style>
  <w:style w:type="character" w:customStyle="1" w:styleId="Titolo5Carattere">
    <w:name w:val="Titolo 5 Carattere"/>
    <w:basedOn w:val="Carpredefinitoparagrafo"/>
    <w:link w:val="Titolo5"/>
    <w:uiPriority w:val="99"/>
    <w:semiHidden/>
    <w:rsid w:val="006544C4"/>
    <w:rPr>
      <w:rFonts w:asciiTheme="majorHAnsi" w:eastAsiaTheme="majorEastAsia" w:hAnsiTheme="majorHAnsi" w:cstheme="majorBidi"/>
      <w:b/>
      <w:bCs/>
      <w:color w:val="808080"/>
    </w:rPr>
  </w:style>
  <w:style w:type="paragraph" w:customStyle="1" w:styleId="JuList">
    <w:name w:val="Ju_List"/>
    <w:basedOn w:val="Normale"/>
    <w:uiPriority w:val="28"/>
    <w:qFormat/>
    <w:rsid w:val="006544C4"/>
    <w:pPr>
      <w:ind w:left="340" w:hanging="340"/>
    </w:pPr>
  </w:style>
  <w:style w:type="paragraph" w:customStyle="1" w:styleId="JuLista">
    <w:name w:val="Ju_List_a"/>
    <w:basedOn w:val="JuList"/>
    <w:uiPriority w:val="28"/>
    <w:qFormat/>
    <w:rsid w:val="006544C4"/>
    <w:pPr>
      <w:ind w:left="346" w:firstLine="0"/>
    </w:pPr>
  </w:style>
  <w:style w:type="character" w:styleId="Enfasidelicata">
    <w:name w:val="Subtle Emphasis"/>
    <w:uiPriority w:val="99"/>
    <w:semiHidden/>
    <w:qFormat/>
    <w:rsid w:val="006544C4"/>
    <w:rPr>
      <w:i/>
      <w:iCs/>
    </w:rPr>
  </w:style>
  <w:style w:type="paragraph" w:customStyle="1" w:styleId="JuListi">
    <w:name w:val="Ju_List_i"/>
    <w:basedOn w:val="Normale"/>
    <w:next w:val="JuLista"/>
    <w:uiPriority w:val="28"/>
    <w:qFormat/>
    <w:rsid w:val="006544C4"/>
    <w:pPr>
      <w:ind w:left="794"/>
    </w:pPr>
  </w:style>
  <w:style w:type="table" w:customStyle="1" w:styleId="ECHRTable">
    <w:name w:val="ECHR_Table"/>
    <w:basedOn w:val="Tabellanormale"/>
    <w:rsid w:val="00860B03"/>
    <w:rPr>
      <w:rFonts w:eastAsia="Times New Roman" w:cs="Times New Roman"/>
      <w:sz w:val="20"/>
      <w:szCs w:val="20"/>
      <w:lang w:val="en-GB"/>
    </w:rPr>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Tabellanormale"/>
    <w:rsid w:val="004C086C"/>
    <w:rPr>
      <w:rFonts w:ascii="Verdana" w:eastAsia="Times New Roman" w:hAnsi="Verdana" w:cs="Times New Roman"/>
      <w:sz w:val="20"/>
      <w:szCs w:val="20"/>
      <w:lang w:val="en-GB"/>
    </w:rPr>
    <w:tblPr>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paragraph" w:customStyle="1" w:styleId="OpiH1">
    <w:name w:val="Opi_H_1"/>
    <w:basedOn w:val="ECHRHeading2"/>
    <w:uiPriority w:val="42"/>
    <w:semiHidden/>
    <w:qFormat/>
    <w:rsid w:val="006544C4"/>
    <w:pPr>
      <w:ind w:left="635" w:hanging="357"/>
      <w:outlineLvl w:val="2"/>
    </w:pPr>
  </w:style>
  <w:style w:type="paragraph" w:customStyle="1" w:styleId="OpiHa0">
    <w:name w:val="Opi_H_a"/>
    <w:basedOn w:val="ECHRHeading3"/>
    <w:uiPriority w:val="43"/>
    <w:semiHidden/>
    <w:qFormat/>
    <w:rsid w:val="006544C4"/>
    <w:pPr>
      <w:ind w:left="833" w:hanging="357"/>
      <w:outlineLvl w:val="3"/>
    </w:pPr>
    <w:rPr>
      <w:b/>
      <w:i w:val="0"/>
      <w:sz w:val="20"/>
    </w:rPr>
  </w:style>
  <w:style w:type="paragraph" w:customStyle="1" w:styleId="ECHRTitleCentre2">
    <w:name w:val="ECHR_Title_Centre_2"/>
    <w:aliases w:val="Dec_H_Case"/>
    <w:basedOn w:val="Normale"/>
    <w:next w:val="Normale"/>
    <w:uiPriority w:val="8"/>
    <w:qFormat/>
    <w:rsid w:val="006544C4"/>
    <w:pPr>
      <w:spacing w:after="240"/>
      <w:jc w:val="center"/>
      <w:outlineLvl w:val="0"/>
    </w:pPr>
    <w:rPr>
      <w:rFonts w:asciiTheme="majorHAnsi" w:hAnsiTheme="majorHAnsi"/>
    </w:rPr>
  </w:style>
  <w:style w:type="character" w:styleId="Enfasicorsivo">
    <w:name w:val="Emphasis"/>
    <w:uiPriority w:val="99"/>
    <w:semiHidden/>
    <w:qFormat/>
    <w:rsid w:val="006544C4"/>
    <w:rPr>
      <w:b/>
      <w:bCs/>
      <w:i/>
      <w:iCs/>
      <w:spacing w:val="10"/>
      <w:bdr w:val="none" w:sz="0" w:space="0" w:color="auto"/>
      <w:shd w:val="clear" w:color="auto" w:fill="auto"/>
    </w:rPr>
  </w:style>
  <w:style w:type="paragraph" w:styleId="Pidipagina">
    <w:name w:val="footer"/>
    <w:basedOn w:val="Normale"/>
    <w:link w:val="PidipaginaCarattere"/>
    <w:uiPriority w:val="57"/>
    <w:semiHidden/>
    <w:rsid w:val="00941747"/>
    <w:pPr>
      <w:tabs>
        <w:tab w:val="center" w:pos="4536"/>
        <w:tab w:val="right" w:pos="9696"/>
      </w:tabs>
      <w:ind w:left="-680" w:right="-680"/>
    </w:pPr>
  </w:style>
  <w:style w:type="character" w:customStyle="1" w:styleId="PidipaginaCarattere">
    <w:name w:val="Piè di pagina Carattere"/>
    <w:basedOn w:val="Carpredefinitoparagrafo"/>
    <w:link w:val="Pidipagina"/>
    <w:uiPriority w:val="57"/>
    <w:semiHidden/>
    <w:rsid w:val="008D4752"/>
  </w:style>
  <w:style w:type="character" w:styleId="Rimandonotaapidipagina">
    <w:name w:val="footnote reference"/>
    <w:basedOn w:val="Carpredefinitoparagrafo"/>
    <w:uiPriority w:val="99"/>
    <w:semiHidden/>
    <w:rsid w:val="00941747"/>
    <w:rPr>
      <w:vertAlign w:val="superscript"/>
    </w:rPr>
  </w:style>
  <w:style w:type="paragraph" w:styleId="Testonotaapidipagina">
    <w:name w:val="footnote text"/>
    <w:basedOn w:val="Normale"/>
    <w:link w:val="TestonotaapidipaginaCarattere"/>
    <w:uiPriority w:val="99"/>
    <w:semiHidden/>
    <w:rsid w:val="00941747"/>
    <w:rPr>
      <w:sz w:val="20"/>
      <w:szCs w:val="20"/>
    </w:rPr>
  </w:style>
  <w:style w:type="character" w:customStyle="1" w:styleId="TestonotaapidipaginaCarattere">
    <w:name w:val="Testo nota a piè di pagina Carattere"/>
    <w:basedOn w:val="Carpredefinitoparagrafo"/>
    <w:link w:val="Testonotaapidipagina"/>
    <w:uiPriority w:val="99"/>
    <w:semiHidden/>
    <w:rsid w:val="00A671F8"/>
    <w:rPr>
      <w:rFonts w:eastAsiaTheme="minorEastAsia"/>
      <w:sz w:val="20"/>
      <w:szCs w:val="20"/>
    </w:rPr>
  </w:style>
  <w:style w:type="character" w:customStyle="1" w:styleId="Titolo6Carattere">
    <w:name w:val="Titolo 6 Carattere"/>
    <w:basedOn w:val="Carpredefinitoparagrafo"/>
    <w:link w:val="Titolo6"/>
    <w:uiPriority w:val="99"/>
    <w:semiHidden/>
    <w:rsid w:val="00A671F8"/>
    <w:rPr>
      <w:rFonts w:asciiTheme="majorHAnsi" w:eastAsiaTheme="majorEastAsia" w:hAnsiTheme="majorHAnsi" w:cstheme="majorBidi"/>
      <w:b/>
      <w:bCs/>
      <w:i/>
      <w:iCs/>
      <w:color w:val="7F7F7F" w:themeColor="text1" w:themeTint="80"/>
      <w:lang w:bidi="en-US"/>
    </w:rPr>
  </w:style>
  <w:style w:type="character" w:customStyle="1" w:styleId="Titolo7Carattere">
    <w:name w:val="Titolo 7 Carattere"/>
    <w:basedOn w:val="Carpredefinitoparagrafo"/>
    <w:link w:val="Titolo7"/>
    <w:uiPriority w:val="99"/>
    <w:semiHidden/>
    <w:rsid w:val="006544C4"/>
    <w:rPr>
      <w:rFonts w:asciiTheme="majorHAnsi" w:eastAsiaTheme="majorEastAsia" w:hAnsiTheme="majorHAnsi" w:cstheme="majorBidi"/>
      <w:i/>
      <w:iCs/>
      <w:lang w:bidi="en-US"/>
    </w:rPr>
  </w:style>
  <w:style w:type="character" w:customStyle="1" w:styleId="Titolo8Carattere">
    <w:name w:val="Titolo 8 Carattere"/>
    <w:basedOn w:val="Carpredefinitoparagrafo"/>
    <w:link w:val="Titolo8"/>
    <w:uiPriority w:val="99"/>
    <w:semiHidden/>
    <w:rsid w:val="006544C4"/>
    <w:rPr>
      <w:rFonts w:asciiTheme="majorHAnsi" w:eastAsiaTheme="majorEastAsia" w:hAnsiTheme="majorHAnsi" w:cstheme="majorBidi"/>
      <w:sz w:val="20"/>
      <w:szCs w:val="20"/>
      <w:lang w:bidi="en-US"/>
    </w:rPr>
  </w:style>
  <w:style w:type="character" w:customStyle="1" w:styleId="Titolo9Carattere">
    <w:name w:val="Titolo 9 Carattere"/>
    <w:basedOn w:val="Carpredefinitoparagrafo"/>
    <w:link w:val="Titolo9"/>
    <w:uiPriority w:val="99"/>
    <w:semiHidden/>
    <w:rsid w:val="006544C4"/>
    <w:rPr>
      <w:rFonts w:asciiTheme="majorHAnsi" w:eastAsiaTheme="majorEastAsia" w:hAnsiTheme="majorHAnsi" w:cstheme="majorBidi"/>
      <w:i/>
      <w:iCs/>
      <w:spacing w:val="5"/>
      <w:sz w:val="20"/>
      <w:szCs w:val="20"/>
      <w:lang w:bidi="en-US"/>
    </w:rPr>
  </w:style>
  <w:style w:type="character" w:styleId="Collegamentoipertestuale">
    <w:name w:val="Hyperlink"/>
    <w:basedOn w:val="Carpredefinitoparagrafo"/>
    <w:uiPriority w:val="99"/>
    <w:semiHidden/>
    <w:rsid w:val="00941747"/>
    <w:rPr>
      <w:color w:val="0072BC" w:themeColor="hyperlink"/>
      <w:u w:val="single"/>
    </w:rPr>
  </w:style>
  <w:style w:type="character" w:styleId="Enfasiintensa">
    <w:name w:val="Intense Emphasis"/>
    <w:uiPriority w:val="99"/>
    <w:semiHidden/>
    <w:qFormat/>
    <w:rsid w:val="006544C4"/>
    <w:rPr>
      <w:b/>
      <w:bCs/>
    </w:rPr>
  </w:style>
  <w:style w:type="paragraph" w:styleId="Citazioneintensa">
    <w:name w:val="Intense Quote"/>
    <w:basedOn w:val="Normale"/>
    <w:next w:val="Normale"/>
    <w:link w:val="CitazioneintensaCarattere"/>
    <w:uiPriority w:val="99"/>
    <w:semiHidden/>
    <w:qFormat/>
    <w:rsid w:val="006544C4"/>
    <w:pPr>
      <w:pBdr>
        <w:bottom w:val="single" w:sz="4" w:space="1" w:color="auto"/>
      </w:pBdr>
      <w:spacing w:before="200" w:after="280"/>
      <w:ind w:left="1008" w:right="1152"/>
    </w:pPr>
    <w:rPr>
      <w:b/>
      <w:bCs/>
      <w:i/>
      <w:iCs/>
      <w:sz w:val="22"/>
      <w:lang w:bidi="en-US"/>
    </w:rPr>
  </w:style>
  <w:style w:type="character" w:customStyle="1" w:styleId="CitazioneintensaCarattere">
    <w:name w:val="Citazione intensa Carattere"/>
    <w:basedOn w:val="Carpredefinitoparagrafo"/>
    <w:link w:val="Citazioneintensa"/>
    <w:uiPriority w:val="99"/>
    <w:semiHidden/>
    <w:rsid w:val="006544C4"/>
    <w:rPr>
      <w:rFonts w:eastAsiaTheme="minorEastAsia"/>
      <w:b/>
      <w:bCs/>
      <w:i/>
      <w:iCs/>
      <w:lang w:bidi="en-US"/>
    </w:rPr>
  </w:style>
  <w:style w:type="character" w:styleId="Riferimentointenso">
    <w:name w:val="Intense Reference"/>
    <w:uiPriority w:val="99"/>
    <w:semiHidden/>
    <w:qFormat/>
    <w:rsid w:val="006544C4"/>
    <w:rPr>
      <w:smallCaps/>
      <w:spacing w:val="5"/>
      <w:u w:val="single"/>
    </w:rPr>
  </w:style>
  <w:style w:type="paragraph" w:styleId="Paragrafoelenco">
    <w:name w:val="List Paragraph"/>
    <w:basedOn w:val="Normale"/>
    <w:uiPriority w:val="99"/>
    <w:semiHidden/>
    <w:qFormat/>
    <w:rsid w:val="006544C4"/>
    <w:pPr>
      <w:ind w:left="720"/>
      <w:contextualSpacing/>
    </w:pPr>
  </w:style>
  <w:style w:type="table" w:customStyle="1" w:styleId="LtrTableAddress">
    <w:name w:val="Ltr_Table_Address"/>
    <w:basedOn w:val="Tabellanormale"/>
    <w:uiPriority w:val="99"/>
    <w:rsid w:val="001E6F32"/>
    <w:tblPr>
      <w:tblInd w:w="5103" w:type="dxa"/>
    </w:tblPr>
  </w:style>
  <w:style w:type="paragraph" w:styleId="Citazione">
    <w:name w:val="Quote"/>
    <w:basedOn w:val="Normale"/>
    <w:next w:val="Normale"/>
    <w:link w:val="CitazioneCarattere"/>
    <w:uiPriority w:val="99"/>
    <w:semiHidden/>
    <w:qFormat/>
    <w:rsid w:val="006544C4"/>
    <w:pPr>
      <w:spacing w:before="200"/>
      <w:ind w:left="360" w:right="360"/>
    </w:pPr>
    <w:rPr>
      <w:i/>
      <w:iCs/>
      <w:sz w:val="22"/>
      <w:lang w:bidi="en-US"/>
    </w:rPr>
  </w:style>
  <w:style w:type="character" w:customStyle="1" w:styleId="CitazioneCarattere">
    <w:name w:val="Citazione Carattere"/>
    <w:basedOn w:val="Carpredefinitoparagrafo"/>
    <w:link w:val="Citazione"/>
    <w:uiPriority w:val="99"/>
    <w:semiHidden/>
    <w:rsid w:val="006544C4"/>
    <w:rPr>
      <w:rFonts w:eastAsiaTheme="minorEastAsia"/>
      <w:i/>
      <w:iCs/>
      <w:lang w:bidi="en-US"/>
    </w:rPr>
  </w:style>
  <w:style w:type="character" w:styleId="Riferimentodelicato">
    <w:name w:val="Subtle Reference"/>
    <w:uiPriority w:val="99"/>
    <w:semiHidden/>
    <w:qFormat/>
    <w:rsid w:val="006544C4"/>
    <w:rPr>
      <w:smallCaps/>
    </w:rPr>
  </w:style>
  <w:style w:type="table" w:styleId="Grigliatabella">
    <w:name w:val="Table Grid"/>
    <w:basedOn w:val="Tabellanormale"/>
    <w:uiPriority w:val="59"/>
    <w:semiHidden/>
    <w:rsid w:val="00941747"/>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mmario1">
    <w:name w:val="toc 1"/>
    <w:basedOn w:val="Normale"/>
    <w:next w:val="Normale"/>
    <w:autoRedefine/>
    <w:uiPriority w:val="99"/>
    <w:semiHidden/>
    <w:rsid w:val="00EA185E"/>
    <w:pPr>
      <w:spacing w:before="120" w:after="60"/>
      <w:ind w:left="340" w:right="340" w:hanging="340"/>
    </w:pPr>
    <w:rPr>
      <w:color w:val="0D0D0D" w:themeColor="text1" w:themeTint="F2"/>
    </w:rPr>
  </w:style>
  <w:style w:type="paragraph" w:styleId="Sommario2">
    <w:name w:val="toc 2"/>
    <w:basedOn w:val="Normale"/>
    <w:next w:val="Normale"/>
    <w:autoRedefine/>
    <w:uiPriority w:val="99"/>
    <w:semiHidden/>
    <w:rsid w:val="00EA185E"/>
    <w:pPr>
      <w:spacing w:after="60"/>
      <w:ind w:left="680" w:right="340" w:hanging="340"/>
    </w:pPr>
  </w:style>
  <w:style w:type="paragraph" w:styleId="Sommario3">
    <w:name w:val="toc 3"/>
    <w:basedOn w:val="Normale"/>
    <w:next w:val="Normale"/>
    <w:autoRedefine/>
    <w:uiPriority w:val="99"/>
    <w:semiHidden/>
    <w:rsid w:val="00EA185E"/>
    <w:pPr>
      <w:spacing w:after="60"/>
      <w:ind w:left="1020" w:right="340" w:hanging="340"/>
    </w:pPr>
  </w:style>
  <w:style w:type="paragraph" w:styleId="Sommario4">
    <w:name w:val="toc 4"/>
    <w:basedOn w:val="Normale"/>
    <w:next w:val="Normale"/>
    <w:autoRedefine/>
    <w:uiPriority w:val="99"/>
    <w:semiHidden/>
    <w:rsid w:val="00EA185E"/>
    <w:pPr>
      <w:tabs>
        <w:tab w:val="right" w:leader="dot" w:pos="9017"/>
      </w:tabs>
      <w:spacing w:after="60"/>
      <w:ind w:left="1361" w:right="340" w:hanging="340"/>
    </w:pPr>
  </w:style>
  <w:style w:type="paragraph" w:styleId="Sommario5">
    <w:name w:val="toc 5"/>
    <w:basedOn w:val="Normale"/>
    <w:next w:val="Normale"/>
    <w:autoRedefine/>
    <w:uiPriority w:val="99"/>
    <w:semiHidden/>
    <w:rsid w:val="00B46543"/>
    <w:pPr>
      <w:spacing w:after="60"/>
      <w:ind w:left="1701" w:right="340" w:hanging="340"/>
    </w:pPr>
  </w:style>
  <w:style w:type="paragraph" w:styleId="Titolosommario">
    <w:name w:val="TOC Heading"/>
    <w:basedOn w:val="Titolo1"/>
    <w:next w:val="Normale"/>
    <w:uiPriority w:val="99"/>
    <w:semiHidden/>
    <w:qFormat/>
    <w:rsid w:val="006544C4"/>
    <w:pPr>
      <w:outlineLvl w:val="9"/>
    </w:pPr>
    <w:rPr>
      <w:color w:val="474747" w:themeColor="accent3" w:themeShade="BF"/>
    </w:rPr>
  </w:style>
  <w:style w:type="table" w:customStyle="1" w:styleId="UGTable">
    <w:name w:val="UG_Table"/>
    <w:basedOn w:val="Tabellanormale"/>
    <w:uiPriority w:val="99"/>
    <w:rsid w:val="00801300"/>
    <w:rPr>
      <w:rFonts w:eastAsiaTheme="minorEastAsia"/>
      <w:sz w:val="20"/>
      <w:lang w:val="en-GB" w:eastAsia="en-GB"/>
    </w:rPr>
    <w:tblPr>
      <w:tblInd w:w="-1191" w:type="dxa"/>
      <w:tblCellMar>
        <w:top w:w="57" w:type="dxa"/>
        <w:left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basedOn w:val="Tabellanormale"/>
    <w:uiPriority w:val="99"/>
    <w:rsid w:val="00801300"/>
    <w:rPr>
      <w:rFonts w:eastAsiaTheme="minorEastAsia"/>
      <w:lang w:val="en-GB" w:eastAsia="en-GB"/>
    </w:rPr>
    <w:tblPr>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table" w:customStyle="1" w:styleId="PCFTableStyle">
    <w:name w:val="PCF_Table_Style"/>
    <w:basedOn w:val="Tabellanormale"/>
    <w:uiPriority w:val="99"/>
    <w:rsid w:val="00810B38"/>
    <w:rPr>
      <w:color w:val="000000" w:themeColor="text1"/>
      <w:sz w:val="18"/>
    </w:rPr>
    <w:tblPr>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Fax">
    <w:name w:val="ECHR_Table_Fax"/>
    <w:basedOn w:val="Tabellanormale"/>
    <w:uiPriority w:val="99"/>
    <w:rsid w:val="00893576"/>
    <w:rPr>
      <w:color w:val="000000" w:themeColor="text1"/>
    </w:rPr>
    <w:tblPr>
      <w:tblInd w:w="-680" w:type="dxa"/>
      <w:tblBorders>
        <w:insideH w:val="single" w:sz="4" w:space="0" w:color="C6C6C6" w:themeColor="text2"/>
        <w:insideV w:val="single" w:sz="4" w:space="0" w:color="C6C6C6" w:themeColor="text2"/>
      </w:tblBorders>
      <w:tblCellMar>
        <w:top w:w="142" w:type="dxa"/>
        <w:bottom w:w="142" w:type="dxa"/>
      </w:tblCellMar>
    </w:tblPr>
    <w:trPr>
      <w:cantSplit/>
    </w:trPr>
  </w:style>
  <w:style w:type="table" w:customStyle="1" w:styleId="ECHRTableMemo">
    <w:name w:val="ECHR_Table_Memo"/>
    <w:basedOn w:val="Tabellanormale"/>
    <w:uiPriority w:val="99"/>
    <w:rsid w:val="00210338"/>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DNTable">
    <w:name w:val="ECHR_DN_Table"/>
    <w:aliases w:val="DN_Table"/>
    <w:basedOn w:val="Tabellanormale"/>
    <w:uiPriority w:val="99"/>
    <w:rsid w:val="0090506B"/>
    <w:tblPr>
      <w:jc w:val="center"/>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bottom w:w="57"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styleId="Titoloindicefonti">
    <w:name w:val="toa heading"/>
    <w:basedOn w:val="Normale"/>
    <w:next w:val="Normale"/>
    <w:uiPriority w:val="99"/>
    <w:semiHidden/>
    <w:rsid w:val="00C333A0"/>
    <w:pPr>
      <w:spacing w:before="120"/>
    </w:pPr>
    <w:rPr>
      <w:rFonts w:asciiTheme="majorHAnsi" w:eastAsiaTheme="majorEastAsia" w:hAnsiTheme="majorHAnsi" w:cstheme="majorBidi"/>
      <w:b/>
      <w:bCs/>
      <w:color w:val="474747" w:themeColor="accent3" w:themeShade="BF"/>
      <w:szCs w:val="24"/>
    </w:rPr>
  </w:style>
  <w:style w:type="paragraph" w:customStyle="1" w:styleId="OpiHi">
    <w:name w:val="Opi_H_i"/>
    <w:basedOn w:val="ECHRHeading4"/>
    <w:uiPriority w:val="44"/>
    <w:semiHidden/>
    <w:qFormat/>
    <w:rsid w:val="006544C4"/>
    <w:pPr>
      <w:ind w:left="1037" w:hanging="357"/>
      <w:outlineLvl w:val="4"/>
    </w:pPr>
    <w:rPr>
      <w:b w:val="0"/>
      <w:i/>
    </w:rPr>
  </w:style>
  <w:style w:type="paragraph" w:customStyle="1" w:styleId="DummyStyle">
    <w:name w:val="Dummy_Style"/>
    <w:basedOn w:val="Normale"/>
    <w:semiHidden/>
    <w:qFormat/>
    <w:rsid w:val="006544C4"/>
    <w:rPr>
      <w:color w:val="00B050"/>
      <w:lang w:bidi="en-US"/>
    </w:rPr>
  </w:style>
  <w:style w:type="paragraph" w:styleId="Sottotitolo">
    <w:name w:val="Subtitle"/>
    <w:basedOn w:val="Normale"/>
    <w:next w:val="Normale"/>
    <w:link w:val="SottotitoloCarattere"/>
    <w:uiPriority w:val="99"/>
    <w:semiHidden/>
    <w:qFormat/>
    <w:rsid w:val="006544C4"/>
    <w:pPr>
      <w:spacing w:after="600"/>
    </w:pPr>
    <w:rPr>
      <w:rFonts w:asciiTheme="majorHAnsi" w:eastAsiaTheme="majorEastAsia" w:hAnsiTheme="majorHAnsi" w:cstheme="majorBidi"/>
      <w:i/>
      <w:iCs/>
      <w:spacing w:val="13"/>
      <w:szCs w:val="24"/>
      <w:lang w:bidi="en-US"/>
    </w:rPr>
  </w:style>
  <w:style w:type="paragraph" w:customStyle="1" w:styleId="ECHRPara">
    <w:name w:val="ECHR_Para"/>
    <w:aliases w:val="Ju_Para"/>
    <w:basedOn w:val="Normale"/>
    <w:qFormat/>
    <w:rsid w:val="004047FE"/>
    <w:pPr>
      <w:ind w:firstLine="284"/>
    </w:pPr>
  </w:style>
  <w:style w:type="character" w:customStyle="1" w:styleId="SottotitoloCarattere">
    <w:name w:val="Sottotitolo Carattere"/>
    <w:basedOn w:val="Carpredefinitoparagrafo"/>
    <w:link w:val="Sottotitolo"/>
    <w:uiPriority w:val="99"/>
    <w:semiHidden/>
    <w:rsid w:val="006544C4"/>
    <w:rPr>
      <w:rFonts w:asciiTheme="majorHAnsi" w:eastAsiaTheme="majorEastAsia" w:hAnsiTheme="majorHAnsi" w:cstheme="majorBidi"/>
      <w:i/>
      <w:iCs/>
      <w:spacing w:val="13"/>
      <w:sz w:val="24"/>
      <w:szCs w:val="24"/>
      <w:lang w:bidi="en-US"/>
    </w:rPr>
  </w:style>
  <w:style w:type="table" w:customStyle="1" w:styleId="ECHRTableSimpleBox">
    <w:name w:val="ECHR_Table_Simple_Box"/>
    <w:basedOn w:val="Tabellanormale"/>
    <w:uiPriority w:val="99"/>
    <w:rsid w:val="00AE354C"/>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table" w:customStyle="1" w:styleId="ECHRTableNoLines">
    <w:name w:val="ECHR_Table_No_Lines"/>
    <w:basedOn w:val="Tabellanormale"/>
    <w:uiPriority w:val="99"/>
    <w:rsid w:val="00F218EF"/>
    <w:tblPr>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numbering" w:styleId="111111">
    <w:name w:val="Outline List 2"/>
    <w:basedOn w:val="Nessunelenco"/>
    <w:uiPriority w:val="99"/>
    <w:semiHidden/>
    <w:unhideWhenUsed/>
    <w:rsid w:val="006544C4"/>
    <w:pPr>
      <w:numPr>
        <w:numId w:val="12"/>
      </w:numPr>
    </w:pPr>
  </w:style>
  <w:style w:type="table" w:customStyle="1" w:styleId="ECHRTableForInternalUse">
    <w:name w:val="ECHR_Table_For_Internal_Use"/>
    <w:basedOn w:val="Tabellanormale"/>
    <w:uiPriority w:val="99"/>
    <w:rsid w:val="005474E7"/>
    <w:rPr>
      <w:color w:val="636363" w:themeColor="text2" w:themeShade="80"/>
      <w:sz w:val="18"/>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ListTable">
    <w:name w:val="ECHR_List_Table"/>
    <w:basedOn w:val="Tabellanormale"/>
    <w:uiPriority w:val="99"/>
    <w:rsid w:val="00520BAA"/>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numbering" w:styleId="1ai">
    <w:name w:val="Outline List 1"/>
    <w:basedOn w:val="Nessunelenco"/>
    <w:semiHidden/>
    <w:unhideWhenUsed/>
    <w:rsid w:val="006544C4"/>
    <w:pPr>
      <w:numPr>
        <w:numId w:val="13"/>
      </w:numPr>
    </w:pPr>
  </w:style>
  <w:style w:type="numbering" w:styleId="ArticoloSezione">
    <w:name w:val="Outline List 3"/>
    <w:basedOn w:val="Nessunelenco"/>
    <w:uiPriority w:val="99"/>
    <w:semiHidden/>
    <w:unhideWhenUsed/>
    <w:rsid w:val="006544C4"/>
    <w:pPr>
      <w:numPr>
        <w:numId w:val="14"/>
      </w:numPr>
    </w:pPr>
  </w:style>
  <w:style w:type="table" w:customStyle="1" w:styleId="ECHRHeaderTable">
    <w:name w:val="ECHR_Header_Table"/>
    <w:basedOn w:val="Tabellanormale"/>
    <w:uiPriority w:val="99"/>
    <w:rsid w:val="00661971"/>
    <w:tblPr>
      <w:tblInd w:w="-680" w:type="dxa"/>
      <w:tblBorders>
        <w:bottom w:val="single" w:sz="6" w:space="0" w:color="949494" w:themeColor="text2" w:themeShade="BF"/>
      </w:tblBorders>
      <w:tblCellMar>
        <w:left w:w="0" w:type="dxa"/>
        <w:bottom w:w="28" w:type="dxa"/>
        <w:right w:w="0" w:type="dxa"/>
      </w:tblCellMar>
    </w:tblPr>
    <w:tcPr>
      <w:vAlign w:val="bottom"/>
    </w:tcPr>
    <w:tblStylePr w:type="lastCol">
      <w:pPr>
        <w:wordWrap/>
        <w:jc w:val="both"/>
      </w:pPr>
    </w:tblStylePr>
  </w:style>
  <w:style w:type="paragraph" w:styleId="Bibliografia">
    <w:name w:val="Bibliography"/>
    <w:basedOn w:val="Normale"/>
    <w:next w:val="Normale"/>
    <w:uiPriority w:val="99"/>
    <w:semiHidden/>
    <w:rsid w:val="006544C4"/>
  </w:style>
  <w:style w:type="paragraph" w:styleId="Testodelblocco">
    <w:name w:val="Block Text"/>
    <w:basedOn w:val="Normale"/>
    <w:uiPriority w:val="99"/>
    <w:semiHidden/>
    <w:rsid w:val="006544C4"/>
    <w:pPr>
      <w:pBdr>
        <w:top w:val="single" w:sz="2" w:space="10" w:color="0072BC" w:themeColor="accent1" w:shadow="1"/>
        <w:left w:val="single" w:sz="2" w:space="10" w:color="0072BC" w:themeColor="accent1" w:shadow="1"/>
        <w:bottom w:val="single" w:sz="2" w:space="10" w:color="0072BC" w:themeColor="accent1" w:shadow="1"/>
        <w:right w:val="single" w:sz="2" w:space="10" w:color="0072BC" w:themeColor="accent1" w:shadow="1"/>
      </w:pBdr>
      <w:ind w:left="1152" w:right="1152"/>
    </w:pPr>
    <w:rPr>
      <w:i/>
      <w:iCs/>
      <w:color w:val="0072BC" w:themeColor="accent1"/>
    </w:rPr>
  </w:style>
  <w:style w:type="table" w:customStyle="1" w:styleId="ECHRTableOddBanded">
    <w:name w:val="ECHR_Table_Odd_Banded"/>
    <w:basedOn w:val="Tabellanormale"/>
    <w:uiPriority w:val="99"/>
    <w:rsid w:val="00860B03"/>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paragraph" w:styleId="Corpotesto">
    <w:name w:val="Body Text"/>
    <w:basedOn w:val="Normale"/>
    <w:link w:val="CorpotestoCarattere"/>
    <w:semiHidden/>
    <w:rsid w:val="006544C4"/>
    <w:pPr>
      <w:spacing w:after="120"/>
    </w:pPr>
  </w:style>
  <w:style w:type="table" w:customStyle="1" w:styleId="ECHRHeaderTableReduced">
    <w:name w:val="ECHR_Header_Table_Reduced"/>
    <w:basedOn w:val="Tabellanormale"/>
    <w:uiPriority w:val="99"/>
    <w:rsid w:val="00B52BE0"/>
    <w:tblPr>
      <w:tblInd w:w="-680" w:type="dxa"/>
      <w:tblCellMar>
        <w:left w:w="0" w:type="dxa"/>
        <w:right w:w="0" w:type="dxa"/>
      </w:tblCellMar>
    </w:tblPr>
    <w:tcPr>
      <w:vAlign w:val="bottom"/>
    </w:tcPr>
    <w:tblStylePr w:type="firstRow">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character" w:styleId="Numeropagina">
    <w:name w:val="page number"/>
    <w:basedOn w:val="Carpredefinitoparagrafo"/>
    <w:uiPriority w:val="99"/>
    <w:semiHidden/>
    <w:rsid w:val="006544C4"/>
    <w:rPr>
      <w:rFonts w:ascii="Times New Roman" w:hAnsi="Times New Roman" w:cs="Times New Roman"/>
      <w:sz w:val="18"/>
    </w:rPr>
  </w:style>
  <w:style w:type="character" w:styleId="Rimandocommento">
    <w:name w:val="annotation reference"/>
    <w:basedOn w:val="Carpredefinitoparagrafo"/>
    <w:uiPriority w:val="99"/>
    <w:semiHidden/>
    <w:rsid w:val="006544C4"/>
    <w:rPr>
      <w:sz w:val="16"/>
    </w:rPr>
  </w:style>
  <w:style w:type="paragraph" w:styleId="Testocommento">
    <w:name w:val="annotation text"/>
    <w:basedOn w:val="Normale"/>
    <w:link w:val="TestocommentoCarattere"/>
    <w:semiHidden/>
    <w:rsid w:val="006544C4"/>
    <w:rPr>
      <w:sz w:val="20"/>
    </w:rPr>
  </w:style>
  <w:style w:type="character" w:customStyle="1" w:styleId="TestocommentoCarattere">
    <w:name w:val="Testo commento Carattere"/>
    <w:basedOn w:val="Carpredefinitoparagrafo"/>
    <w:link w:val="Testocommento"/>
    <w:semiHidden/>
    <w:rsid w:val="006544C4"/>
    <w:rPr>
      <w:rFonts w:eastAsiaTheme="minorEastAsia"/>
      <w:sz w:val="20"/>
    </w:rPr>
  </w:style>
  <w:style w:type="paragraph" w:customStyle="1" w:styleId="JuSigned">
    <w:name w:val="Ju_Signed"/>
    <w:basedOn w:val="Normale"/>
    <w:next w:val="JuParaLast"/>
    <w:uiPriority w:val="32"/>
    <w:qFormat/>
    <w:rsid w:val="006544C4"/>
    <w:pPr>
      <w:tabs>
        <w:tab w:val="center" w:pos="851"/>
        <w:tab w:val="center" w:pos="6407"/>
      </w:tabs>
      <w:spacing w:before="720"/>
      <w:jc w:val="left"/>
    </w:pPr>
  </w:style>
  <w:style w:type="paragraph" w:customStyle="1" w:styleId="JuTitle">
    <w:name w:val="Ju_Title"/>
    <w:basedOn w:val="Normale"/>
    <w:next w:val="Normale"/>
    <w:uiPriority w:val="3"/>
    <w:qFormat/>
    <w:rsid w:val="006544C4"/>
    <w:pPr>
      <w:spacing w:before="720" w:after="240"/>
      <w:jc w:val="center"/>
      <w:outlineLvl w:val="0"/>
    </w:pPr>
    <w:rPr>
      <w:rFonts w:asciiTheme="majorHAnsi" w:hAnsiTheme="majorHAnsi"/>
      <w:b/>
      <w:caps/>
    </w:rPr>
  </w:style>
  <w:style w:type="paragraph" w:customStyle="1" w:styleId="DecHTitle">
    <w:name w:val="Dec_H_Title"/>
    <w:basedOn w:val="ECHRTitleCentre1"/>
    <w:uiPriority w:val="7"/>
    <w:qFormat/>
    <w:rsid w:val="006544C4"/>
  </w:style>
  <w:style w:type="paragraph" w:styleId="Puntoelenco2">
    <w:name w:val="List Bullet 2"/>
    <w:basedOn w:val="Normale"/>
    <w:uiPriority w:val="99"/>
    <w:semiHidden/>
    <w:rsid w:val="006544C4"/>
    <w:pPr>
      <w:numPr>
        <w:numId w:val="8"/>
      </w:numPr>
      <w:contextualSpacing/>
    </w:pPr>
  </w:style>
  <w:style w:type="paragraph" w:styleId="Puntoelenco3">
    <w:name w:val="List Bullet 3"/>
    <w:basedOn w:val="Normale"/>
    <w:semiHidden/>
    <w:rsid w:val="006544C4"/>
    <w:pPr>
      <w:numPr>
        <w:numId w:val="9"/>
      </w:numPr>
      <w:contextualSpacing/>
    </w:pPr>
  </w:style>
  <w:style w:type="character" w:customStyle="1" w:styleId="CorpotestoCarattere">
    <w:name w:val="Corpo testo Carattere"/>
    <w:basedOn w:val="Carpredefinitoparagrafo"/>
    <w:link w:val="Corpotesto"/>
    <w:semiHidden/>
    <w:rsid w:val="006544C4"/>
    <w:rPr>
      <w:rFonts w:eastAsiaTheme="minorEastAsia"/>
      <w:sz w:val="24"/>
    </w:rPr>
  </w:style>
  <w:style w:type="paragraph" w:styleId="Corpodeltesto2">
    <w:name w:val="Body Text 2"/>
    <w:basedOn w:val="Normale"/>
    <w:link w:val="Corpodeltesto2Carattere"/>
    <w:uiPriority w:val="99"/>
    <w:semiHidden/>
    <w:rsid w:val="006544C4"/>
    <w:pPr>
      <w:spacing w:after="120" w:line="480" w:lineRule="auto"/>
    </w:pPr>
  </w:style>
  <w:style w:type="character" w:customStyle="1" w:styleId="Corpodeltesto2Carattere">
    <w:name w:val="Corpo del testo 2 Carattere"/>
    <w:basedOn w:val="Carpredefinitoparagrafo"/>
    <w:link w:val="Corpodeltesto2"/>
    <w:uiPriority w:val="99"/>
    <w:semiHidden/>
    <w:rsid w:val="006544C4"/>
    <w:rPr>
      <w:rFonts w:eastAsiaTheme="minorEastAsia"/>
      <w:sz w:val="24"/>
    </w:rPr>
  </w:style>
  <w:style w:type="paragraph" w:styleId="Corpodeltesto3">
    <w:name w:val="Body Text 3"/>
    <w:basedOn w:val="Normale"/>
    <w:link w:val="Corpodeltesto3Carattere"/>
    <w:uiPriority w:val="99"/>
    <w:semiHidden/>
    <w:rsid w:val="006544C4"/>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6544C4"/>
    <w:rPr>
      <w:rFonts w:eastAsiaTheme="minorEastAsia"/>
      <w:sz w:val="16"/>
      <w:szCs w:val="16"/>
    </w:rPr>
  </w:style>
  <w:style w:type="paragraph" w:styleId="Primorientrocorpodeltesto">
    <w:name w:val="Body Text First Indent"/>
    <w:basedOn w:val="Corpotesto"/>
    <w:link w:val="PrimorientrocorpodeltestoCarattere"/>
    <w:uiPriority w:val="99"/>
    <w:semiHidden/>
    <w:rsid w:val="006544C4"/>
    <w:pPr>
      <w:spacing w:after="0"/>
      <w:ind w:firstLine="360"/>
    </w:pPr>
  </w:style>
  <w:style w:type="character" w:customStyle="1" w:styleId="PrimorientrocorpodeltestoCarattere">
    <w:name w:val="Primo rientro corpo del testo Carattere"/>
    <w:basedOn w:val="CorpotestoCarattere"/>
    <w:link w:val="Primorientrocorpodeltesto"/>
    <w:uiPriority w:val="99"/>
    <w:semiHidden/>
    <w:rsid w:val="006544C4"/>
    <w:rPr>
      <w:rFonts w:eastAsiaTheme="minorEastAsia"/>
      <w:sz w:val="24"/>
    </w:rPr>
  </w:style>
  <w:style w:type="paragraph" w:styleId="Rientrocorpodeltesto">
    <w:name w:val="Body Text Indent"/>
    <w:basedOn w:val="Normale"/>
    <w:link w:val="RientrocorpodeltestoCarattere"/>
    <w:uiPriority w:val="99"/>
    <w:semiHidden/>
    <w:rsid w:val="006544C4"/>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6544C4"/>
    <w:rPr>
      <w:rFonts w:eastAsiaTheme="minorEastAsia"/>
      <w:sz w:val="24"/>
    </w:rPr>
  </w:style>
  <w:style w:type="paragraph" w:styleId="Primorientrocorpodeltesto2">
    <w:name w:val="Body Text First Indent 2"/>
    <w:basedOn w:val="Rientrocorpodeltesto"/>
    <w:link w:val="Primorientrocorpodeltesto2Carattere"/>
    <w:semiHidden/>
    <w:rsid w:val="006544C4"/>
    <w:pPr>
      <w:spacing w:after="0"/>
      <w:ind w:left="360" w:firstLine="360"/>
    </w:pPr>
  </w:style>
  <w:style w:type="character" w:customStyle="1" w:styleId="Primorientrocorpodeltesto2Carattere">
    <w:name w:val="Primo rientro corpo del testo 2 Carattere"/>
    <w:basedOn w:val="RientrocorpodeltestoCarattere"/>
    <w:link w:val="Primorientrocorpodeltesto2"/>
    <w:semiHidden/>
    <w:rsid w:val="006544C4"/>
    <w:rPr>
      <w:rFonts w:eastAsiaTheme="minorEastAsia"/>
      <w:sz w:val="24"/>
    </w:rPr>
  </w:style>
  <w:style w:type="paragraph" w:styleId="Rientrocorpodeltesto2">
    <w:name w:val="Body Text Indent 2"/>
    <w:basedOn w:val="Normale"/>
    <w:link w:val="Rientrocorpodeltesto2Carattere"/>
    <w:semiHidden/>
    <w:rsid w:val="006544C4"/>
    <w:pPr>
      <w:spacing w:after="120" w:line="480" w:lineRule="auto"/>
      <w:ind w:left="283"/>
    </w:pPr>
  </w:style>
  <w:style w:type="character" w:customStyle="1" w:styleId="Rientrocorpodeltesto2Carattere">
    <w:name w:val="Rientro corpo del testo 2 Carattere"/>
    <w:basedOn w:val="Carpredefinitoparagrafo"/>
    <w:link w:val="Rientrocorpodeltesto2"/>
    <w:semiHidden/>
    <w:rsid w:val="006544C4"/>
    <w:rPr>
      <w:rFonts w:eastAsiaTheme="minorEastAsia"/>
      <w:sz w:val="24"/>
    </w:rPr>
  </w:style>
  <w:style w:type="paragraph" w:styleId="Rientrocorpodeltesto3">
    <w:name w:val="Body Text Indent 3"/>
    <w:basedOn w:val="Normale"/>
    <w:link w:val="Rientrocorpodeltesto3Carattere"/>
    <w:uiPriority w:val="99"/>
    <w:semiHidden/>
    <w:rsid w:val="006544C4"/>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6544C4"/>
    <w:rPr>
      <w:rFonts w:eastAsiaTheme="minorEastAsia"/>
      <w:sz w:val="16"/>
      <w:szCs w:val="16"/>
    </w:rPr>
  </w:style>
  <w:style w:type="paragraph" w:styleId="Didascalia">
    <w:name w:val="caption"/>
    <w:basedOn w:val="Normale"/>
    <w:next w:val="Normale"/>
    <w:uiPriority w:val="99"/>
    <w:semiHidden/>
    <w:qFormat/>
    <w:rsid w:val="006544C4"/>
    <w:pPr>
      <w:spacing w:after="200"/>
    </w:pPr>
    <w:rPr>
      <w:b/>
      <w:bCs/>
      <w:color w:val="0072BC" w:themeColor="accent1"/>
      <w:sz w:val="18"/>
      <w:szCs w:val="18"/>
    </w:rPr>
  </w:style>
  <w:style w:type="paragraph" w:styleId="Formuladichiusura">
    <w:name w:val="Closing"/>
    <w:basedOn w:val="Normale"/>
    <w:link w:val="FormuladichiusuraCarattere"/>
    <w:uiPriority w:val="99"/>
    <w:semiHidden/>
    <w:rsid w:val="006544C4"/>
    <w:pPr>
      <w:ind w:left="4252"/>
    </w:pPr>
  </w:style>
  <w:style w:type="character" w:customStyle="1" w:styleId="FormuladichiusuraCarattere">
    <w:name w:val="Formula di chiusura Carattere"/>
    <w:basedOn w:val="Carpredefinitoparagrafo"/>
    <w:link w:val="Formuladichiusura"/>
    <w:uiPriority w:val="99"/>
    <w:semiHidden/>
    <w:rsid w:val="006544C4"/>
    <w:rPr>
      <w:rFonts w:eastAsiaTheme="minorEastAsia"/>
      <w:sz w:val="24"/>
    </w:rPr>
  </w:style>
  <w:style w:type="table" w:styleId="Grigliaacolori">
    <w:name w:val="Colorful Grid"/>
    <w:basedOn w:val="Tabellanormale"/>
    <w:uiPriority w:val="99"/>
    <w:semiHidden/>
    <w:rsid w:val="006544C4"/>
    <w:rPr>
      <w:color w:val="000000" w:themeColor="text1"/>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acolori-Colore1">
    <w:name w:val="Colorful Grid Accent 1"/>
    <w:basedOn w:val="Tabellanormale"/>
    <w:uiPriority w:val="73"/>
    <w:semiHidden/>
    <w:rsid w:val="006544C4"/>
    <w:rPr>
      <w:color w:val="000000" w:themeColor="text1"/>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acolori-Colore2">
    <w:name w:val="Colorful Grid Accent 2"/>
    <w:basedOn w:val="Tabellanormale"/>
    <w:uiPriority w:val="99"/>
    <w:semiHidden/>
    <w:rsid w:val="006544C4"/>
    <w:rPr>
      <w:color w:val="000000" w:themeColor="text1"/>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acolori-Colore3">
    <w:name w:val="Colorful Grid Accent 3"/>
    <w:basedOn w:val="Tabellanormale"/>
    <w:uiPriority w:val="99"/>
    <w:semiHidden/>
    <w:rsid w:val="006544C4"/>
    <w:rPr>
      <w:color w:val="000000" w:themeColor="text1"/>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acolori-Colore4">
    <w:name w:val="Colorful Grid Accent 4"/>
    <w:basedOn w:val="Tabellanormale"/>
    <w:uiPriority w:val="99"/>
    <w:semiHidden/>
    <w:rsid w:val="006544C4"/>
    <w:rPr>
      <w:color w:val="000000" w:themeColor="text1"/>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acolori-Colore5">
    <w:name w:val="Colorful Grid Accent 5"/>
    <w:basedOn w:val="Tabellanormale"/>
    <w:uiPriority w:val="73"/>
    <w:semiHidden/>
    <w:rsid w:val="006544C4"/>
    <w:rPr>
      <w:color w:val="000000" w:themeColor="text1"/>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acolori-Colore6">
    <w:name w:val="Colorful Grid Accent 6"/>
    <w:basedOn w:val="Tabellanormale"/>
    <w:uiPriority w:val="99"/>
    <w:semiHidden/>
    <w:rsid w:val="006544C4"/>
    <w:rPr>
      <w:color w:val="000000" w:themeColor="text1"/>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Elencoacolori">
    <w:name w:val="Colorful List"/>
    <w:basedOn w:val="Tabellanormale"/>
    <w:uiPriority w:val="72"/>
    <w:semiHidden/>
    <w:rsid w:val="006544C4"/>
    <w:rPr>
      <w:color w:val="000000" w:themeColor="text1"/>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Elencoacolori-Colore1">
    <w:name w:val="Colorful List Accent 1"/>
    <w:basedOn w:val="Tabellanormale"/>
    <w:uiPriority w:val="99"/>
    <w:semiHidden/>
    <w:rsid w:val="006544C4"/>
    <w:rPr>
      <w:color w:val="000000" w:themeColor="text1"/>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Elencoacolori-Colore2">
    <w:name w:val="Colorful List Accent 2"/>
    <w:basedOn w:val="Tabellanormale"/>
    <w:uiPriority w:val="72"/>
    <w:semiHidden/>
    <w:rsid w:val="006544C4"/>
    <w:rPr>
      <w:color w:val="000000" w:themeColor="text1"/>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Elencoacolori-Colore3">
    <w:name w:val="Colorful List Accent 3"/>
    <w:basedOn w:val="Tabellanormale"/>
    <w:uiPriority w:val="99"/>
    <w:semiHidden/>
    <w:rsid w:val="006544C4"/>
    <w:rPr>
      <w:color w:val="000000" w:themeColor="text1"/>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Elencoacolori-Colore4">
    <w:name w:val="Colorful List Accent 4"/>
    <w:basedOn w:val="Tabellanormale"/>
    <w:uiPriority w:val="99"/>
    <w:semiHidden/>
    <w:rsid w:val="006544C4"/>
    <w:rPr>
      <w:color w:val="000000" w:themeColor="text1"/>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Elencoacolori-Colore5">
    <w:name w:val="Colorful List Accent 5"/>
    <w:basedOn w:val="Tabellanormale"/>
    <w:uiPriority w:val="99"/>
    <w:semiHidden/>
    <w:rsid w:val="006544C4"/>
    <w:rPr>
      <w:color w:val="000000" w:themeColor="text1"/>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Elencoacolori-Colore6">
    <w:name w:val="Colorful List Accent 6"/>
    <w:basedOn w:val="Tabellanormale"/>
    <w:uiPriority w:val="72"/>
    <w:semiHidden/>
    <w:rsid w:val="006544C4"/>
    <w:rPr>
      <w:color w:val="000000" w:themeColor="text1"/>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Sfondoacolori">
    <w:name w:val="Colorful Shading"/>
    <w:basedOn w:val="Tabellanormale"/>
    <w:uiPriority w:val="99"/>
    <w:semiHidden/>
    <w:rsid w:val="006544C4"/>
    <w:rPr>
      <w:color w:val="000000" w:themeColor="text1"/>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Sfondoacolori-Colore1">
    <w:name w:val="Colorful Shading Accent 1"/>
    <w:basedOn w:val="Tabellanormale"/>
    <w:uiPriority w:val="99"/>
    <w:semiHidden/>
    <w:rsid w:val="006544C4"/>
    <w:rPr>
      <w:color w:val="000000" w:themeColor="text1"/>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Sfondoacolori-Colore2">
    <w:name w:val="Colorful Shading Accent 2"/>
    <w:basedOn w:val="Tabellanormale"/>
    <w:uiPriority w:val="99"/>
    <w:semiHidden/>
    <w:rsid w:val="006544C4"/>
    <w:rPr>
      <w:color w:val="000000" w:themeColor="text1"/>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Sfondoacolori-Colore3">
    <w:name w:val="Colorful Shading Accent 3"/>
    <w:basedOn w:val="Tabellanormale"/>
    <w:uiPriority w:val="71"/>
    <w:semiHidden/>
    <w:rsid w:val="006544C4"/>
    <w:rPr>
      <w:color w:val="000000" w:themeColor="text1"/>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Sfondoacolori-Colore4">
    <w:name w:val="Colorful Shading Accent 4"/>
    <w:basedOn w:val="Tabellanormale"/>
    <w:uiPriority w:val="99"/>
    <w:semiHidden/>
    <w:rsid w:val="006544C4"/>
    <w:rPr>
      <w:color w:val="000000" w:themeColor="text1"/>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Sfondoacolori-Colore5">
    <w:name w:val="Colorful Shading Accent 5"/>
    <w:basedOn w:val="Tabellanormale"/>
    <w:uiPriority w:val="99"/>
    <w:semiHidden/>
    <w:rsid w:val="006544C4"/>
    <w:rPr>
      <w:color w:val="000000" w:themeColor="text1"/>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Sfondoacolori-Colore6">
    <w:name w:val="Colorful Shading Accent 6"/>
    <w:basedOn w:val="Tabellanormale"/>
    <w:uiPriority w:val="99"/>
    <w:semiHidden/>
    <w:rsid w:val="006544C4"/>
    <w:rPr>
      <w:color w:val="000000" w:themeColor="text1"/>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paragraph" w:styleId="Soggettocommento">
    <w:name w:val="annotation subject"/>
    <w:basedOn w:val="Testocommento"/>
    <w:next w:val="Testocommento"/>
    <w:link w:val="SoggettocommentoCarattere"/>
    <w:semiHidden/>
    <w:rsid w:val="006544C4"/>
    <w:rPr>
      <w:b/>
      <w:bCs/>
      <w:szCs w:val="20"/>
    </w:rPr>
  </w:style>
  <w:style w:type="character" w:customStyle="1" w:styleId="SoggettocommentoCarattere">
    <w:name w:val="Soggetto commento Carattere"/>
    <w:basedOn w:val="TestocommentoCarattere"/>
    <w:link w:val="Soggettocommento"/>
    <w:semiHidden/>
    <w:rsid w:val="006544C4"/>
    <w:rPr>
      <w:rFonts w:eastAsiaTheme="minorEastAsia"/>
      <w:b/>
      <w:bCs/>
      <w:sz w:val="20"/>
      <w:szCs w:val="20"/>
    </w:rPr>
  </w:style>
  <w:style w:type="table" w:styleId="Elencoscuro">
    <w:name w:val="Dark List"/>
    <w:basedOn w:val="Tabellanormale"/>
    <w:uiPriority w:val="99"/>
    <w:semiHidden/>
    <w:rsid w:val="006544C4"/>
    <w:rPr>
      <w:color w:val="0072BC"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Elencoscuro-Colore1">
    <w:name w:val="Dark List Accent 1"/>
    <w:basedOn w:val="Tabellanormale"/>
    <w:uiPriority w:val="99"/>
    <w:semiHidden/>
    <w:rsid w:val="006544C4"/>
    <w:rPr>
      <w:color w:val="0072BC" w:themeColor="background1"/>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Elencoscuro-Colore2">
    <w:name w:val="Dark List Accent 2"/>
    <w:basedOn w:val="Tabellanormale"/>
    <w:uiPriority w:val="70"/>
    <w:semiHidden/>
    <w:rsid w:val="006544C4"/>
    <w:rPr>
      <w:color w:val="0072BC" w:themeColor="background1"/>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Elencoscuro-Colore3">
    <w:name w:val="Dark List Accent 3"/>
    <w:basedOn w:val="Tabellanormale"/>
    <w:uiPriority w:val="99"/>
    <w:semiHidden/>
    <w:rsid w:val="006544C4"/>
    <w:rPr>
      <w:color w:val="0072BC" w:themeColor="background1"/>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Elencoscuro-Colore4">
    <w:name w:val="Dark List Accent 4"/>
    <w:basedOn w:val="Tabellanormale"/>
    <w:uiPriority w:val="99"/>
    <w:semiHidden/>
    <w:rsid w:val="006544C4"/>
    <w:rPr>
      <w:color w:val="0072BC" w:themeColor="background1"/>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Elencoscuro-Colore5">
    <w:name w:val="Dark List Accent 5"/>
    <w:basedOn w:val="Tabellanormale"/>
    <w:uiPriority w:val="99"/>
    <w:semiHidden/>
    <w:rsid w:val="006544C4"/>
    <w:rPr>
      <w:color w:val="0072BC" w:themeColor="background1"/>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Elencoscuro-Colore6">
    <w:name w:val="Dark List Accent 6"/>
    <w:basedOn w:val="Tabellanormale"/>
    <w:uiPriority w:val="70"/>
    <w:semiHidden/>
    <w:rsid w:val="006544C4"/>
    <w:rPr>
      <w:color w:val="0072BC" w:themeColor="background1"/>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a">
    <w:name w:val="Date"/>
    <w:basedOn w:val="Normale"/>
    <w:next w:val="Normale"/>
    <w:link w:val="DataCarattere"/>
    <w:uiPriority w:val="99"/>
    <w:semiHidden/>
    <w:rsid w:val="006544C4"/>
  </w:style>
  <w:style w:type="character" w:customStyle="1" w:styleId="DataCarattere">
    <w:name w:val="Data Carattere"/>
    <w:basedOn w:val="Carpredefinitoparagrafo"/>
    <w:link w:val="Data"/>
    <w:uiPriority w:val="99"/>
    <w:semiHidden/>
    <w:rsid w:val="006544C4"/>
    <w:rPr>
      <w:rFonts w:eastAsiaTheme="minorEastAsia"/>
      <w:sz w:val="24"/>
    </w:rPr>
  </w:style>
  <w:style w:type="paragraph" w:styleId="Mappadocumento">
    <w:name w:val="Document Map"/>
    <w:basedOn w:val="Normale"/>
    <w:link w:val="MappadocumentoCarattere"/>
    <w:semiHidden/>
    <w:rsid w:val="006544C4"/>
    <w:rPr>
      <w:rFonts w:ascii="Tahoma" w:hAnsi="Tahoma" w:cs="Tahoma"/>
      <w:sz w:val="16"/>
      <w:szCs w:val="16"/>
    </w:rPr>
  </w:style>
  <w:style w:type="character" w:customStyle="1" w:styleId="MappadocumentoCarattere">
    <w:name w:val="Mappa documento Carattere"/>
    <w:basedOn w:val="Carpredefinitoparagrafo"/>
    <w:link w:val="Mappadocumento"/>
    <w:semiHidden/>
    <w:rsid w:val="006544C4"/>
    <w:rPr>
      <w:rFonts w:ascii="Tahoma" w:eastAsiaTheme="minorEastAsia" w:hAnsi="Tahoma" w:cs="Tahoma"/>
      <w:sz w:val="16"/>
      <w:szCs w:val="16"/>
    </w:rPr>
  </w:style>
  <w:style w:type="paragraph" w:styleId="Firmadipostaelettronica">
    <w:name w:val="E-mail Signature"/>
    <w:basedOn w:val="Normale"/>
    <w:link w:val="FirmadipostaelettronicaCarattere"/>
    <w:uiPriority w:val="99"/>
    <w:semiHidden/>
    <w:rsid w:val="006544C4"/>
  </w:style>
  <w:style w:type="character" w:customStyle="1" w:styleId="FirmadipostaelettronicaCarattere">
    <w:name w:val="Firma di posta elettronica Carattere"/>
    <w:basedOn w:val="Carpredefinitoparagrafo"/>
    <w:link w:val="Firmadipostaelettronica"/>
    <w:uiPriority w:val="99"/>
    <w:semiHidden/>
    <w:rsid w:val="006544C4"/>
    <w:rPr>
      <w:rFonts w:eastAsiaTheme="minorEastAsia"/>
      <w:sz w:val="24"/>
    </w:rPr>
  </w:style>
  <w:style w:type="character" w:styleId="Rimandonotadichiusura">
    <w:name w:val="endnote reference"/>
    <w:basedOn w:val="Carpredefinitoparagrafo"/>
    <w:semiHidden/>
    <w:rsid w:val="006544C4"/>
    <w:rPr>
      <w:vertAlign w:val="superscript"/>
    </w:rPr>
  </w:style>
  <w:style w:type="paragraph" w:styleId="Testonotadichiusura">
    <w:name w:val="endnote text"/>
    <w:basedOn w:val="Normale"/>
    <w:link w:val="TestonotadichiusuraCarattere"/>
    <w:uiPriority w:val="99"/>
    <w:semiHidden/>
    <w:rsid w:val="006544C4"/>
    <w:rPr>
      <w:sz w:val="20"/>
      <w:szCs w:val="20"/>
    </w:rPr>
  </w:style>
  <w:style w:type="character" w:customStyle="1" w:styleId="TestonotadichiusuraCarattere">
    <w:name w:val="Testo nota di chiusura Carattere"/>
    <w:basedOn w:val="Carpredefinitoparagrafo"/>
    <w:link w:val="Testonotadichiusura"/>
    <w:uiPriority w:val="99"/>
    <w:semiHidden/>
    <w:rsid w:val="006544C4"/>
    <w:rPr>
      <w:rFonts w:eastAsiaTheme="minorEastAsia"/>
      <w:sz w:val="20"/>
      <w:szCs w:val="20"/>
    </w:rPr>
  </w:style>
  <w:style w:type="paragraph" w:styleId="Indirizzodestinatario">
    <w:name w:val="envelope address"/>
    <w:basedOn w:val="Normale"/>
    <w:uiPriority w:val="99"/>
    <w:semiHidden/>
    <w:rsid w:val="006544C4"/>
    <w:pPr>
      <w:framePr w:w="7920" w:h="1980" w:hRule="exact" w:hSpace="180" w:wrap="auto" w:hAnchor="page" w:xAlign="center" w:yAlign="bottom"/>
      <w:ind w:left="2880"/>
    </w:pPr>
    <w:rPr>
      <w:rFonts w:asciiTheme="majorHAnsi" w:eastAsiaTheme="majorEastAsia" w:hAnsiTheme="majorHAnsi" w:cstheme="majorBidi"/>
      <w:szCs w:val="24"/>
    </w:rPr>
  </w:style>
  <w:style w:type="paragraph" w:styleId="Indirizzomittente">
    <w:name w:val="envelope return"/>
    <w:basedOn w:val="Normale"/>
    <w:semiHidden/>
    <w:rsid w:val="006544C4"/>
    <w:rPr>
      <w:rFonts w:asciiTheme="majorHAnsi" w:eastAsiaTheme="majorEastAsia" w:hAnsiTheme="majorHAnsi" w:cstheme="majorBidi"/>
      <w:sz w:val="20"/>
      <w:szCs w:val="20"/>
    </w:rPr>
  </w:style>
  <w:style w:type="character" w:styleId="Collegamentovisitato">
    <w:name w:val="FollowedHyperlink"/>
    <w:basedOn w:val="Carpredefinitoparagrafo"/>
    <w:uiPriority w:val="99"/>
    <w:semiHidden/>
    <w:rsid w:val="006544C4"/>
    <w:rPr>
      <w:color w:val="7030A0" w:themeColor="followedHyperlink"/>
      <w:u w:val="single"/>
    </w:rPr>
  </w:style>
  <w:style w:type="character" w:styleId="AcronimoHTML">
    <w:name w:val="HTML Acronym"/>
    <w:basedOn w:val="Carpredefinitoparagrafo"/>
    <w:uiPriority w:val="99"/>
    <w:semiHidden/>
    <w:rsid w:val="006544C4"/>
  </w:style>
  <w:style w:type="paragraph" w:styleId="IndirizzoHTML">
    <w:name w:val="HTML Address"/>
    <w:basedOn w:val="Normale"/>
    <w:link w:val="IndirizzoHTMLCarattere"/>
    <w:semiHidden/>
    <w:rsid w:val="006544C4"/>
    <w:rPr>
      <w:i/>
      <w:iCs/>
    </w:rPr>
  </w:style>
  <w:style w:type="character" w:customStyle="1" w:styleId="IndirizzoHTMLCarattere">
    <w:name w:val="Indirizzo HTML Carattere"/>
    <w:basedOn w:val="Carpredefinitoparagrafo"/>
    <w:link w:val="IndirizzoHTML"/>
    <w:semiHidden/>
    <w:rsid w:val="006544C4"/>
    <w:rPr>
      <w:rFonts w:eastAsiaTheme="minorEastAsia"/>
      <w:i/>
      <w:iCs/>
      <w:sz w:val="24"/>
    </w:rPr>
  </w:style>
  <w:style w:type="character" w:styleId="CitazioneHTML">
    <w:name w:val="HTML Cite"/>
    <w:basedOn w:val="Carpredefinitoparagrafo"/>
    <w:uiPriority w:val="99"/>
    <w:semiHidden/>
    <w:rsid w:val="006544C4"/>
    <w:rPr>
      <w:i/>
      <w:iCs/>
    </w:rPr>
  </w:style>
  <w:style w:type="character" w:styleId="CodiceHTML">
    <w:name w:val="HTML Code"/>
    <w:basedOn w:val="Carpredefinitoparagrafo"/>
    <w:uiPriority w:val="99"/>
    <w:semiHidden/>
    <w:rsid w:val="006544C4"/>
    <w:rPr>
      <w:rFonts w:ascii="Consolas" w:hAnsi="Consolas" w:cs="Consolas"/>
      <w:sz w:val="20"/>
      <w:szCs w:val="20"/>
    </w:rPr>
  </w:style>
  <w:style w:type="character" w:styleId="DefinizioneHTML">
    <w:name w:val="HTML Definition"/>
    <w:basedOn w:val="Carpredefinitoparagrafo"/>
    <w:uiPriority w:val="99"/>
    <w:semiHidden/>
    <w:rsid w:val="006544C4"/>
    <w:rPr>
      <w:i/>
      <w:iCs/>
    </w:rPr>
  </w:style>
  <w:style w:type="character" w:styleId="TastieraHTML">
    <w:name w:val="HTML Keyboard"/>
    <w:basedOn w:val="Carpredefinitoparagrafo"/>
    <w:semiHidden/>
    <w:rsid w:val="006544C4"/>
    <w:rPr>
      <w:rFonts w:ascii="Consolas" w:hAnsi="Consolas" w:cs="Consolas"/>
      <w:sz w:val="20"/>
      <w:szCs w:val="20"/>
    </w:rPr>
  </w:style>
  <w:style w:type="paragraph" w:styleId="PreformattatoHTML">
    <w:name w:val="HTML Preformatted"/>
    <w:basedOn w:val="Normale"/>
    <w:link w:val="PreformattatoHTMLCarattere"/>
    <w:uiPriority w:val="99"/>
    <w:semiHidden/>
    <w:rsid w:val="006544C4"/>
    <w:rPr>
      <w:rFonts w:ascii="Consolas" w:hAnsi="Consolas" w:cs="Consolas"/>
      <w:sz w:val="20"/>
      <w:szCs w:val="20"/>
    </w:rPr>
  </w:style>
  <w:style w:type="character" w:customStyle="1" w:styleId="PreformattatoHTMLCarattere">
    <w:name w:val="Preformattato HTML Carattere"/>
    <w:basedOn w:val="Carpredefinitoparagrafo"/>
    <w:link w:val="PreformattatoHTML"/>
    <w:uiPriority w:val="99"/>
    <w:semiHidden/>
    <w:rsid w:val="006544C4"/>
    <w:rPr>
      <w:rFonts w:ascii="Consolas" w:eastAsiaTheme="minorEastAsia" w:hAnsi="Consolas" w:cs="Consolas"/>
      <w:sz w:val="20"/>
      <w:szCs w:val="20"/>
    </w:rPr>
  </w:style>
  <w:style w:type="character" w:styleId="EsempioHTML">
    <w:name w:val="HTML Sample"/>
    <w:basedOn w:val="Carpredefinitoparagrafo"/>
    <w:semiHidden/>
    <w:rsid w:val="006544C4"/>
    <w:rPr>
      <w:rFonts w:ascii="Consolas" w:hAnsi="Consolas" w:cs="Consolas"/>
      <w:sz w:val="24"/>
      <w:szCs w:val="24"/>
    </w:rPr>
  </w:style>
  <w:style w:type="character" w:styleId="MacchinadascrivereHTML">
    <w:name w:val="HTML Typewriter"/>
    <w:basedOn w:val="Carpredefinitoparagrafo"/>
    <w:uiPriority w:val="99"/>
    <w:semiHidden/>
    <w:rsid w:val="006544C4"/>
    <w:rPr>
      <w:rFonts w:ascii="Consolas" w:hAnsi="Consolas" w:cs="Consolas"/>
      <w:sz w:val="20"/>
      <w:szCs w:val="20"/>
    </w:rPr>
  </w:style>
  <w:style w:type="character" w:styleId="VariabileHTML">
    <w:name w:val="HTML Variable"/>
    <w:basedOn w:val="Carpredefinitoparagrafo"/>
    <w:semiHidden/>
    <w:rsid w:val="006544C4"/>
    <w:rPr>
      <w:i/>
      <w:iCs/>
    </w:rPr>
  </w:style>
  <w:style w:type="paragraph" w:styleId="Indice1">
    <w:name w:val="index 1"/>
    <w:basedOn w:val="Normale"/>
    <w:next w:val="Normale"/>
    <w:autoRedefine/>
    <w:uiPriority w:val="99"/>
    <w:semiHidden/>
    <w:rsid w:val="006544C4"/>
    <w:pPr>
      <w:ind w:left="240" w:hanging="240"/>
    </w:pPr>
  </w:style>
  <w:style w:type="paragraph" w:styleId="Indice2">
    <w:name w:val="index 2"/>
    <w:basedOn w:val="Normale"/>
    <w:next w:val="Normale"/>
    <w:autoRedefine/>
    <w:semiHidden/>
    <w:rsid w:val="006544C4"/>
    <w:pPr>
      <w:ind w:left="480" w:hanging="240"/>
    </w:pPr>
  </w:style>
  <w:style w:type="paragraph" w:styleId="Indice3">
    <w:name w:val="index 3"/>
    <w:basedOn w:val="Normale"/>
    <w:next w:val="Normale"/>
    <w:autoRedefine/>
    <w:uiPriority w:val="99"/>
    <w:semiHidden/>
    <w:rsid w:val="006544C4"/>
    <w:pPr>
      <w:ind w:left="720" w:hanging="240"/>
    </w:pPr>
  </w:style>
  <w:style w:type="paragraph" w:styleId="Indice4">
    <w:name w:val="index 4"/>
    <w:basedOn w:val="Normale"/>
    <w:next w:val="Normale"/>
    <w:autoRedefine/>
    <w:uiPriority w:val="99"/>
    <w:semiHidden/>
    <w:rsid w:val="006544C4"/>
    <w:pPr>
      <w:ind w:left="960" w:hanging="240"/>
    </w:pPr>
  </w:style>
  <w:style w:type="paragraph" w:styleId="Indice5">
    <w:name w:val="index 5"/>
    <w:basedOn w:val="Normale"/>
    <w:next w:val="Normale"/>
    <w:autoRedefine/>
    <w:uiPriority w:val="99"/>
    <w:semiHidden/>
    <w:rsid w:val="006544C4"/>
    <w:pPr>
      <w:ind w:left="1200" w:hanging="240"/>
    </w:pPr>
  </w:style>
  <w:style w:type="paragraph" w:styleId="Indice6">
    <w:name w:val="index 6"/>
    <w:basedOn w:val="Normale"/>
    <w:next w:val="Normale"/>
    <w:autoRedefine/>
    <w:semiHidden/>
    <w:rsid w:val="006544C4"/>
    <w:pPr>
      <w:ind w:left="1440" w:hanging="240"/>
    </w:pPr>
  </w:style>
  <w:style w:type="paragraph" w:styleId="Indice7">
    <w:name w:val="index 7"/>
    <w:basedOn w:val="Normale"/>
    <w:next w:val="Normale"/>
    <w:autoRedefine/>
    <w:uiPriority w:val="99"/>
    <w:semiHidden/>
    <w:rsid w:val="006544C4"/>
    <w:pPr>
      <w:ind w:left="1680" w:hanging="240"/>
    </w:pPr>
  </w:style>
  <w:style w:type="paragraph" w:styleId="Indice8">
    <w:name w:val="index 8"/>
    <w:basedOn w:val="Normale"/>
    <w:next w:val="Normale"/>
    <w:autoRedefine/>
    <w:semiHidden/>
    <w:rsid w:val="006544C4"/>
    <w:pPr>
      <w:ind w:left="1920" w:hanging="240"/>
    </w:pPr>
  </w:style>
  <w:style w:type="paragraph" w:styleId="Indice9">
    <w:name w:val="index 9"/>
    <w:basedOn w:val="Normale"/>
    <w:next w:val="Normale"/>
    <w:autoRedefine/>
    <w:uiPriority w:val="99"/>
    <w:semiHidden/>
    <w:rsid w:val="006544C4"/>
    <w:pPr>
      <w:ind w:left="2160" w:hanging="240"/>
    </w:pPr>
  </w:style>
  <w:style w:type="paragraph" w:styleId="Titoloindice">
    <w:name w:val="index heading"/>
    <w:basedOn w:val="Normale"/>
    <w:next w:val="Indice1"/>
    <w:semiHidden/>
    <w:rsid w:val="006544C4"/>
    <w:rPr>
      <w:rFonts w:asciiTheme="majorHAnsi" w:eastAsiaTheme="majorEastAsia" w:hAnsiTheme="majorHAnsi" w:cstheme="majorBidi"/>
      <w:b/>
      <w:bCs/>
    </w:rPr>
  </w:style>
  <w:style w:type="table" w:styleId="Grigliachiara">
    <w:name w:val="Light Grid"/>
    <w:basedOn w:val="Tabellanormale"/>
    <w:uiPriority w:val="99"/>
    <w:semiHidden/>
    <w:rsid w:val="006544C4"/>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Grigliachiara-Colore1">
    <w:name w:val="Light Grid Accent 1"/>
    <w:basedOn w:val="Tabellanormale"/>
    <w:uiPriority w:val="62"/>
    <w:semiHidden/>
    <w:rsid w:val="006544C4"/>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Grigliachiara-Colore2">
    <w:name w:val="Light Grid Accent 2"/>
    <w:basedOn w:val="Tabellanormale"/>
    <w:uiPriority w:val="99"/>
    <w:semiHidden/>
    <w:rsid w:val="006544C4"/>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Grigliachiara-Colore3">
    <w:name w:val="Light Grid Accent 3"/>
    <w:basedOn w:val="Tabellanormale"/>
    <w:uiPriority w:val="99"/>
    <w:semiHidden/>
    <w:rsid w:val="006544C4"/>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Grigliachiara-Colore4">
    <w:name w:val="Light Grid Accent 4"/>
    <w:basedOn w:val="Tabellanormale"/>
    <w:uiPriority w:val="99"/>
    <w:semiHidden/>
    <w:rsid w:val="006544C4"/>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Grigliachiara-Colore5">
    <w:name w:val="Light Grid Accent 5"/>
    <w:basedOn w:val="Tabellanormale"/>
    <w:uiPriority w:val="62"/>
    <w:semiHidden/>
    <w:rsid w:val="006544C4"/>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Grigliachiara-Colore6">
    <w:name w:val="Light Grid Accent 6"/>
    <w:basedOn w:val="Tabellanormale"/>
    <w:uiPriority w:val="99"/>
    <w:semiHidden/>
    <w:rsid w:val="006544C4"/>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Elencochiaro">
    <w:name w:val="Light List"/>
    <w:basedOn w:val="Tabellanormale"/>
    <w:uiPriority w:val="61"/>
    <w:semiHidden/>
    <w:rsid w:val="006544C4"/>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Elencochiaro-Colore1">
    <w:name w:val="Light List Accent 1"/>
    <w:basedOn w:val="Tabellanormale"/>
    <w:uiPriority w:val="99"/>
    <w:semiHidden/>
    <w:rsid w:val="006544C4"/>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Elencochiaro-Colore2">
    <w:name w:val="Light List Accent 2"/>
    <w:basedOn w:val="Tabellanormale"/>
    <w:uiPriority w:val="61"/>
    <w:semiHidden/>
    <w:rsid w:val="006544C4"/>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Elencochiaro-Colore3">
    <w:name w:val="Light List Accent 3"/>
    <w:basedOn w:val="Tabellanormale"/>
    <w:uiPriority w:val="99"/>
    <w:semiHidden/>
    <w:rsid w:val="006544C4"/>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Elencochiaro-Colore4">
    <w:name w:val="Light List Accent 4"/>
    <w:basedOn w:val="Tabellanormale"/>
    <w:uiPriority w:val="99"/>
    <w:semiHidden/>
    <w:rsid w:val="006544C4"/>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Elencochiaro-Colore5">
    <w:name w:val="Light List Accent 5"/>
    <w:basedOn w:val="Tabellanormale"/>
    <w:uiPriority w:val="99"/>
    <w:semiHidden/>
    <w:rsid w:val="006544C4"/>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Elencochiaro-Colore6">
    <w:name w:val="Light List Accent 6"/>
    <w:basedOn w:val="Tabellanormale"/>
    <w:uiPriority w:val="61"/>
    <w:semiHidden/>
    <w:rsid w:val="006544C4"/>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Sfondochiaro">
    <w:name w:val="Light Shading"/>
    <w:basedOn w:val="Tabellanormale"/>
    <w:uiPriority w:val="99"/>
    <w:semiHidden/>
    <w:rsid w:val="006544C4"/>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fondochiaro-Colore1">
    <w:name w:val="Light Shading Accent 1"/>
    <w:basedOn w:val="Tabellanormale"/>
    <w:uiPriority w:val="99"/>
    <w:semiHidden/>
    <w:rsid w:val="006544C4"/>
    <w:rPr>
      <w:color w:val="00548C" w:themeColor="accent1" w:themeShade="BF"/>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Sfondochiaro-Colore2">
    <w:name w:val="Light Shading Accent 2"/>
    <w:basedOn w:val="Tabellanormale"/>
    <w:uiPriority w:val="99"/>
    <w:semiHidden/>
    <w:rsid w:val="006544C4"/>
    <w:rPr>
      <w:color w:val="8F0000" w:themeColor="accent2" w:themeShade="BF"/>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Sfondochiaro-Colore3">
    <w:name w:val="Light Shading Accent 3"/>
    <w:basedOn w:val="Tabellanormale"/>
    <w:uiPriority w:val="60"/>
    <w:semiHidden/>
    <w:rsid w:val="006544C4"/>
    <w:rPr>
      <w:color w:val="474747" w:themeColor="accent3" w:themeShade="BF"/>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Sfondochiaro-Colore4">
    <w:name w:val="Light Shading Accent 4"/>
    <w:basedOn w:val="Tabellanormale"/>
    <w:uiPriority w:val="99"/>
    <w:semiHidden/>
    <w:rsid w:val="006544C4"/>
    <w:rPr>
      <w:color w:val="707070" w:themeColor="accent4" w:themeShade="BF"/>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Sfondochiaro-Colore5">
    <w:name w:val="Light Shading Accent 5"/>
    <w:basedOn w:val="Tabellanormale"/>
    <w:uiPriority w:val="99"/>
    <w:semiHidden/>
    <w:rsid w:val="006544C4"/>
    <w:rPr>
      <w:color w:val="474747" w:themeColor="accent5" w:themeShade="BF"/>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Sfondochiaro-Colore6">
    <w:name w:val="Light Shading Accent 6"/>
    <w:basedOn w:val="Tabellanormale"/>
    <w:uiPriority w:val="99"/>
    <w:semiHidden/>
    <w:rsid w:val="006544C4"/>
    <w:rPr>
      <w:color w:val="393939" w:themeColor="accent6" w:themeShade="BF"/>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Numeroriga">
    <w:name w:val="line number"/>
    <w:basedOn w:val="Carpredefinitoparagrafo"/>
    <w:semiHidden/>
    <w:rsid w:val="006544C4"/>
  </w:style>
  <w:style w:type="paragraph" w:styleId="Elenco">
    <w:name w:val="List"/>
    <w:basedOn w:val="Normale"/>
    <w:uiPriority w:val="99"/>
    <w:semiHidden/>
    <w:rsid w:val="006544C4"/>
    <w:pPr>
      <w:ind w:left="283" w:hanging="283"/>
      <w:contextualSpacing/>
    </w:pPr>
  </w:style>
  <w:style w:type="paragraph" w:styleId="Elenco2">
    <w:name w:val="List 2"/>
    <w:basedOn w:val="Normale"/>
    <w:semiHidden/>
    <w:rsid w:val="006544C4"/>
    <w:pPr>
      <w:ind w:left="566" w:hanging="283"/>
      <w:contextualSpacing/>
    </w:pPr>
  </w:style>
  <w:style w:type="paragraph" w:styleId="Elenco3">
    <w:name w:val="List 3"/>
    <w:basedOn w:val="Normale"/>
    <w:uiPriority w:val="99"/>
    <w:semiHidden/>
    <w:rsid w:val="006544C4"/>
    <w:pPr>
      <w:ind w:left="849" w:hanging="283"/>
      <w:contextualSpacing/>
    </w:pPr>
  </w:style>
  <w:style w:type="paragraph" w:styleId="Elenco4">
    <w:name w:val="List 4"/>
    <w:basedOn w:val="Normale"/>
    <w:semiHidden/>
    <w:rsid w:val="006544C4"/>
    <w:pPr>
      <w:ind w:left="1132" w:hanging="283"/>
      <w:contextualSpacing/>
    </w:pPr>
  </w:style>
  <w:style w:type="paragraph" w:styleId="Elenco5">
    <w:name w:val="List 5"/>
    <w:basedOn w:val="Normale"/>
    <w:uiPriority w:val="99"/>
    <w:semiHidden/>
    <w:rsid w:val="006544C4"/>
    <w:pPr>
      <w:ind w:left="1415" w:hanging="283"/>
      <w:contextualSpacing/>
    </w:pPr>
  </w:style>
  <w:style w:type="paragraph" w:styleId="Puntoelenco">
    <w:name w:val="List Bullet"/>
    <w:basedOn w:val="Normale"/>
    <w:uiPriority w:val="99"/>
    <w:semiHidden/>
    <w:rsid w:val="006544C4"/>
    <w:pPr>
      <w:numPr>
        <w:numId w:val="15"/>
      </w:numPr>
      <w:contextualSpacing/>
    </w:pPr>
  </w:style>
  <w:style w:type="paragraph" w:styleId="Puntoelenco4">
    <w:name w:val="List Bullet 4"/>
    <w:basedOn w:val="Normale"/>
    <w:uiPriority w:val="99"/>
    <w:semiHidden/>
    <w:rsid w:val="006544C4"/>
    <w:pPr>
      <w:numPr>
        <w:numId w:val="16"/>
      </w:numPr>
      <w:contextualSpacing/>
    </w:pPr>
  </w:style>
  <w:style w:type="paragraph" w:styleId="Puntoelenco5">
    <w:name w:val="List Bullet 5"/>
    <w:basedOn w:val="Normale"/>
    <w:semiHidden/>
    <w:rsid w:val="006544C4"/>
    <w:pPr>
      <w:numPr>
        <w:numId w:val="17"/>
      </w:numPr>
      <w:contextualSpacing/>
    </w:pPr>
  </w:style>
  <w:style w:type="paragraph" w:styleId="Elencocontinua">
    <w:name w:val="List Continue"/>
    <w:basedOn w:val="Normale"/>
    <w:uiPriority w:val="99"/>
    <w:semiHidden/>
    <w:rsid w:val="006544C4"/>
    <w:pPr>
      <w:spacing w:after="120"/>
      <w:ind w:left="283"/>
      <w:contextualSpacing/>
    </w:pPr>
  </w:style>
  <w:style w:type="paragraph" w:styleId="Elencocontinua2">
    <w:name w:val="List Continue 2"/>
    <w:basedOn w:val="Normale"/>
    <w:semiHidden/>
    <w:rsid w:val="006544C4"/>
    <w:pPr>
      <w:spacing w:after="120"/>
      <w:ind w:left="566"/>
      <w:contextualSpacing/>
    </w:pPr>
  </w:style>
  <w:style w:type="paragraph" w:styleId="Elencocontinua3">
    <w:name w:val="List Continue 3"/>
    <w:basedOn w:val="Normale"/>
    <w:uiPriority w:val="99"/>
    <w:semiHidden/>
    <w:rsid w:val="006544C4"/>
    <w:pPr>
      <w:spacing w:after="120"/>
      <w:ind w:left="849"/>
      <w:contextualSpacing/>
    </w:pPr>
  </w:style>
  <w:style w:type="paragraph" w:styleId="Elencocontinua4">
    <w:name w:val="List Continue 4"/>
    <w:basedOn w:val="Normale"/>
    <w:uiPriority w:val="99"/>
    <w:semiHidden/>
    <w:rsid w:val="006544C4"/>
    <w:pPr>
      <w:spacing w:after="120"/>
      <w:ind w:left="1132"/>
      <w:contextualSpacing/>
    </w:pPr>
  </w:style>
  <w:style w:type="paragraph" w:styleId="Elencocontinua5">
    <w:name w:val="List Continue 5"/>
    <w:basedOn w:val="Normale"/>
    <w:uiPriority w:val="99"/>
    <w:semiHidden/>
    <w:rsid w:val="006544C4"/>
    <w:pPr>
      <w:spacing w:after="120"/>
      <w:ind w:left="1415"/>
      <w:contextualSpacing/>
    </w:pPr>
  </w:style>
  <w:style w:type="paragraph" w:styleId="Numeroelenco">
    <w:name w:val="List Number"/>
    <w:basedOn w:val="Normale"/>
    <w:semiHidden/>
    <w:rsid w:val="006544C4"/>
    <w:pPr>
      <w:numPr>
        <w:numId w:val="18"/>
      </w:numPr>
      <w:contextualSpacing/>
    </w:pPr>
  </w:style>
  <w:style w:type="paragraph" w:styleId="Numeroelenco2">
    <w:name w:val="List Number 2"/>
    <w:basedOn w:val="Normale"/>
    <w:uiPriority w:val="99"/>
    <w:semiHidden/>
    <w:rsid w:val="006544C4"/>
    <w:pPr>
      <w:numPr>
        <w:numId w:val="19"/>
      </w:numPr>
      <w:contextualSpacing/>
    </w:pPr>
  </w:style>
  <w:style w:type="paragraph" w:styleId="Numeroelenco3">
    <w:name w:val="List Number 3"/>
    <w:basedOn w:val="Normale"/>
    <w:semiHidden/>
    <w:rsid w:val="006544C4"/>
    <w:pPr>
      <w:numPr>
        <w:numId w:val="20"/>
      </w:numPr>
      <w:contextualSpacing/>
    </w:pPr>
  </w:style>
  <w:style w:type="paragraph" w:styleId="Numeroelenco4">
    <w:name w:val="List Number 4"/>
    <w:basedOn w:val="Normale"/>
    <w:uiPriority w:val="99"/>
    <w:semiHidden/>
    <w:rsid w:val="006544C4"/>
    <w:pPr>
      <w:numPr>
        <w:numId w:val="21"/>
      </w:numPr>
      <w:contextualSpacing/>
    </w:pPr>
  </w:style>
  <w:style w:type="paragraph" w:styleId="Numeroelenco5">
    <w:name w:val="List Number 5"/>
    <w:basedOn w:val="Normale"/>
    <w:semiHidden/>
    <w:rsid w:val="006544C4"/>
    <w:pPr>
      <w:numPr>
        <w:numId w:val="22"/>
      </w:numPr>
      <w:contextualSpacing/>
    </w:pPr>
  </w:style>
  <w:style w:type="paragraph" w:styleId="Testomacro">
    <w:name w:val="macro"/>
    <w:link w:val="TestomacroCarattere"/>
    <w:uiPriority w:val="99"/>
    <w:semiHidden/>
    <w:rsid w:val="006544C4"/>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EastAsia" w:hAnsi="Consolas" w:cs="Consolas"/>
      <w:sz w:val="20"/>
      <w:szCs w:val="20"/>
    </w:rPr>
  </w:style>
  <w:style w:type="character" w:customStyle="1" w:styleId="TestomacroCarattere">
    <w:name w:val="Testo macro Carattere"/>
    <w:basedOn w:val="Carpredefinitoparagrafo"/>
    <w:link w:val="Testomacro"/>
    <w:uiPriority w:val="99"/>
    <w:semiHidden/>
    <w:rsid w:val="006544C4"/>
    <w:rPr>
      <w:rFonts w:ascii="Consolas" w:eastAsiaTheme="minorEastAsia" w:hAnsi="Consolas" w:cs="Consolas"/>
      <w:sz w:val="20"/>
      <w:szCs w:val="20"/>
    </w:rPr>
  </w:style>
  <w:style w:type="table" w:styleId="Grigliamedia1">
    <w:name w:val="Medium Grid 1"/>
    <w:basedOn w:val="Tabellanormale"/>
    <w:uiPriority w:val="67"/>
    <w:semiHidden/>
    <w:rsid w:val="006544C4"/>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media1-Colore1">
    <w:name w:val="Medium Grid 1 Accent 1"/>
    <w:basedOn w:val="Tabellanormale"/>
    <w:uiPriority w:val="99"/>
    <w:semiHidden/>
    <w:rsid w:val="006544C4"/>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media1-Colore2">
    <w:name w:val="Medium Grid 1 Accent 2"/>
    <w:basedOn w:val="Tabellanormale"/>
    <w:uiPriority w:val="99"/>
    <w:semiHidden/>
    <w:rsid w:val="006544C4"/>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media1-Colore3">
    <w:name w:val="Medium Grid 1 Accent 3"/>
    <w:basedOn w:val="Tabellanormale"/>
    <w:uiPriority w:val="99"/>
    <w:semiHidden/>
    <w:rsid w:val="006544C4"/>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media1-Colore4">
    <w:name w:val="Medium Grid 1 Accent 4"/>
    <w:basedOn w:val="Tabellanormale"/>
    <w:uiPriority w:val="67"/>
    <w:semiHidden/>
    <w:rsid w:val="006544C4"/>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media1-Colore5">
    <w:name w:val="Medium Grid 1 Accent 5"/>
    <w:basedOn w:val="Tabellanormale"/>
    <w:uiPriority w:val="99"/>
    <w:semiHidden/>
    <w:rsid w:val="006544C4"/>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media1-Colore6">
    <w:name w:val="Medium Grid 1 Accent 6"/>
    <w:basedOn w:val="Tabellanormale"/>
    <w:uiPriority w:val="67"/>
    <w:semiHidden/>
    <w:rsid w:val="006544C4"/>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Grigliamedia2">
    <w:name w:val="Medium Grid 2"/>
    <w:basedOn w:val="Tabellanormale"/>
    <w:uiPriority w:val="99"/>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Grigliamedia2-Colore1">
    <w:name w:val="Medium Grid 2 Accent 1"/>
    <w:basedOn w:val="Tabellanormale"/>
    <w:uiPriority w:val="68"/>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Grigliamedia2-Colore2">
    <w:name w:val="Medium Grid 2 Accent 2"/>
    <w:basedOn w:val="Tabellanormale"/>
    <w:uiPriority w:val="99"/>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Grigliamedia2-Colore3">
    <w:name w:val="Medium Grid 2 Accent 3"/>
    <w:basedOn w:val="Tabellanormale"/>
    <w:uiPriority w:val="99"/>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Grigliamedia2-Colore4">
    <w:name w:val="Medium Grid 2 Accent 4"/>
    <w:basedOn w:val="Tabellanormale"/>
    <w:uiPriority w:val="99"/>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Grigliamedia2-Colore5">
    <w:name w:val="Medium Grid 2 Accent 5"/>
    <w:basedOn w:val="Tabellanormale"/>
    <w:uiPriority w:val="68"/>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Grigliamedia2-Colore6">
    <w:name w:val="Medium Grid 2 Accent 6"/>
    <w:basedOn w:val="Tabellanormale"/>
    <w:uiPriority w:val="99"/>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Grigliamedia3">
    <w:name w:val="Medium Grid 3"/>
    <w:basedOn w:val="Tabellanormale"/>
    <w:uiPriority w:val="99"/>
    <w:semiHidden/>
    <w:rsid w:val="006544C4"/>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Grigliamedia3-Colore1">
    <w:name w:val="Medium Grid 3 Accent 1"/>
    <w:basedOn w:val="Tabellanormale"/>
    <w:uiPriority w:val="99"/>
    <w:semiHidden/>
    <w:rsid w:val="006544C4"/>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Grigliamedia3-Colore2">
    <w:name w:val="Medium Grid 3 Accent 2"/>
    <w:basedOn w:val="Tabellanormale"/>
    <w:uiPriority w:val="69"/>
    <w:semiHidden/>
    <w:rsid w:val="006544C4"/>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Grigliamedia3-Colore3">
    <w:name w:val="Medium Grid 3 Accent 3"/>
    <w:basedOn w:val="Tabellanormale"/>
    <w:uiPriority w:val="99"/>
    <w:semiHidden/>
    <w:rsid w:val="006544C4"/>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Grigliamedia3-Colore4">
    <w:name w:val="Medium Grid 3 Accent 4"/>
    <w:basedOn w:val="Tabellanormale"/>
    <w:uiPriority w:val="99"/>
    <w:semiHidden/>
    <w:rsid w:val="006544C4"/>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Grigliamedia3-Colore5">
    <w:name w:val="Medium Grid 3 Accent 5"/>
    <w:basedOn w:val="Tabellanormale"/>
    <w:uiPriority w:val="99"/>
    <w:semiHidden/>
    <w:rsid w:val="006544C4"/>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Grigliamedia3-Colore6">
    <w:name w:val="Medium Grid 3 Accent 6"/>
    <w:basedOn w:val="Tabellanormale"/>
    <w:uiPriority w:val="69"/>
    <w:semiHidden/>
    <w:rsid w:val="006544C4"/>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Elencomedio1">
    <w:name w:val="Medium List 1"/>
    <w:basedOn w:val="Tabellanormale"/>
    <w:uiPriority w:val="99"/>
    <w:semiHidden/>
    <w:rsid w:val="006544C4"/>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Elencomedio1-Colore1">
    <w:name w:val="Medium List 1 Accent 1"/>
    <w:basedOn w:val="Tabellanormale"/>
    <w:uiPriority w:val="65"/>
    <w:semiHidden/>
    <w:rsid w:val="006544C4"/>
    <w:rPr>
      <w:color w:val="000000" w:themeColor="text1"/>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Elencomedio1-Colore2">
    <w:name w:val="Medium List 1 Accent 2"/>
    <w:basedOn w:val="Tabellanormale"/>
    <w:uiPriority w:val="99"/>
    <w:semiHidden/>
    <w:rsid w:val="006544C4"/>
    <w:rPr>
      <w:color w:val="000000" w:themeColor="text1"/>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Elencomedio1-Colore3">
    <w:name w:val="Medium List 1 Accent 3"/>
    <w:basedOn w:val="Tabellanormale"/>
    <w:uiPriority w:val="65"/>
    <w:semiHidden/>
    <w:rsid w:val="006544C4"/>
    <w:rPr>
      <w:color w:val="000000" w:themeColor="text1"/>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Elencomedio1-Colore4">
    <w:name w:val="Medium List 1 Accent 4"/>
    <w:basedOn w:val="Tabellanormale"/>
    <w:uiPriority w:val="99"/>
    <w:semiHidden/>
    <w:rsid w:val="006544C4"/>
    <w:rPr>
      <w:color w:val="000000" w:themeColor="text1"/>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Elencomedio1-Colore5">
    <w:name w:val="Medium List 1 Accent 5"/>
    <w:basedOn w:val="Tabellanormale"/>
    <w:uiPriority w:val="99"/>
    <w:semiHidden/>
    <w:rsid w:val="006544C4"/>
    <w:rPr>
      <w:color w:val="000000" w:themeColor="text1"/>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Elencomedio1-Colore6">
    <w:name w:val="Medium List 1 Accent 6"/>
    <w:basedOn w:val="Tabellanormale"/>
    <w:uiPriority w:val="99"/>
    <w:semiHidden/>
    <w:rsid w:val="006544C4"/>
    <w:rPr>
      <w:color w:val="000000" w:themeColor="text1"/>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Elencomedio2">
    <w:name w:val="Medium List 2"/>
    <w:basedOn w:val="Tabellanormale"/>
    <w:uiPriority w:val="66"/>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1">
    <w:name w:val="Medium List 2 Accent 1"/>
    <w:basedOn w:val="Tabellanormale"/>
    <w:uiPriority w:val="99"/>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2">
    <w:name w:val="Medium List 2 Accent 2"/>
    <w:basedOn w:val="Tabellanormale"/>
    <w:uiPriority w:val="66"/>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3">
    <w:name w:val="Medium List 2 Accent 3"/>
    <w:basedOn w:val="Tabellanormale"/>
    <w:uiPriority w:val="99"/>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4">
    <w:name w:val="Medium List 2 Accent 4"/>
    <w:basedOn w:val="Tabellanormale"/>
    <w:uiPriority w:val="66"/>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5">
    <w:name w:val="Medium List 2 Accent 5"/>
    <w:basedOn w:val="Tabellanormale"/>
    <w:uiPriority w:val="99"/>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6">
    <w:name w:val="Medium List 2 Accent 6"/>
    <w:basedOn w:val="Tabellanormale"/>
    <w:uiPriority w:val="99"/>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Sfondomedio1">
    <w:name w:val="Medium Shading 1"/>
    <w:basedOn w:val="Tabellanormale"/>
    <w:uiPriority w:val="99"/>
    <w:semiHidden/>
    <w:rsid w:val="006544C4"/>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fondomedio1-Colore1">
    <w:name w:val="Medium Shading 1 Accent 1"/>
    <w:basedOn w:val="Tabellanormale"/>
    <w:uiPriority w:val="63"/>
    <w:semiHidden/>
    <w:rsid w:val="006544C4"/>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Sfondomedio1-Colore2">
    <w:name w:val="Medium Shading 1 Accent 2"/>
    <w:basedOn w:val="Tabellanormale"/>
    <w:uiPriority w:val="99"/>
    <w:semiHidden/>
    <w:rsid w:val="006544C4"/>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Sfondomedio1-Colore3">
    <w:name w:val="Medium Shading 1 Accent 3"/>
    <w:basedOn w:val="Tabellanormale"/>
    <w:uiPriority w:val="63"/>
    <w:semiHidden/>
    <w:rsid w:val="006544C4"/>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Sfondomedio1-Colore4">
    <w:name w:val="Medium Shading 1 Accent 4"/>
    <w:basedOn w:val="Tabellanormale"/>
    <w:uiPriority w:val="99"/>
    <w:semiHidden/>
    <w:rsid w:val="006544C4"/>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Sfondomedio1-Colore5">
    <w:name w:val="Medium Shading 1 Accent 5"/>
    <w:basedOn w:val="Tabellanormale"/>
    <w:uiPriority w:val="63"/>
    <w:semiHidden/>
    <w:rsid w:val="006544C4"/>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Sfondomedio1-Colore6">
    <w:name w:val="Medium Shading 1 Accent 6"/>
    <w:basedOn w:val="Tabellanormale"/>
    <w:uiPriority w:val="99"/>
    <w:semiHidden/>
    <w:rsid w:val="006544C4"/>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Sfondomedio2">
    <w:name w:val="Medium Shading 2"/>
    <w:basedOn w:val="Tabellanormale"/>
    <w:uiPriority w:val="99"/>
    <w:semiHidden/>
    <w:rsid w:val="006544C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1">
    <w:name w:val="Medium Shading 2 Accent 1"/>
    <w:basedOn w:val="Tabellanormale"/>
    <w:uiPriority w:val="99"/>
    <w:semiHidden/>
    <w:rsid w:val="006544C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2">
    <w:name w:val="Medium Shading 2 Accent 2"/>
    <w:basedOn w:val="Tabellanormale"/>
    <w:uiPriority w:val="64"/>
    <w:semiHidden/>
    <w:rsid w:val="006544C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3">
    <w:name w:val="Medium Shading 2 Accent 3"/>
    <w:basedOn w:val="Tabellanormale"/>
    <w:uiPriority w:val="99"/>
    <w:semiHidden/>
    <w:rsid w:val="006544C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4">
    <w:name w:val="Medium Shading 2 Accent 4"/>
    <w:basedOn w:val="Tabellanormale"/>
    <w:uiPriority w:val="99"/>
    <w:semiHidden/>
    <w:rsid w:val="006544C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5">
    <w:name w:val="Medium Shading 2 Accent 5"/>
    <w:basedOn w:val="Tabellanormale"/>
    <w:uiPriority w:val="99"/>
    <w:semiHidden/>
    <w:rsid w:val="006544C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6">
    <w:name w:val="Medium Shading 2 Accent 6"/>
    <w:basedOn w:val="Tabellanormale"/>
    <w:uiPriority w:val="64"/>
    <w:semiHidden/>
    <w:rsid w:val="006544C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Intestazionemessaggio">
    <w:name w:val="Message Header"/>
    <w:basedOn w:val="Normale"/>
    <w:link w:val="IntestazionemessaggioCarattere"/>
    <w:uiPriority w:val="99"/>
    <w:semiHidden/>
    <w:rsid w:val="006544C4"/>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IntestazionemessaggioCarattere">
    <w:name w:val="Intestazione messaggio Carattere"/>
    <w:basedOn w:val="Carpredefinitoparagrafo"/>
    <w:link w:val="Intestazionemessaggio"/>
    <w:uiPriority w:val="99"/>
    <w:semiHidden/>
    <w:rsid w:val="006544C4"/>
    <w:rPr>
      <w:rFonts w:asciiTheme="majorHAnsi" w:eastAsiaTheme="majorEastAsia" w:hAnsiTheme="majorHAnsi" w:cstheme="majorBidi"/>
      <w:sz w:val="24"/>
      <w:szCs w:val="24"/>
      <w:shd w:val="pct20" w:color="auto" w:fill="auto"/>
    </w:rPr>
  </w:style>
  <w:style w:type="paragraph" w:styleId="NormaleWeb">
    <w:name w:val="Normal (Web)"/>
    <w:basedOn w:val="Normale"/>
    <w:uiPriority w:val="99"/>
    <w:semiHidden/>
    <w:rsid w:val="006544C4"/>
    <w:rPr>
      <w:rFonts w:ascii="Times New Roman" w:hAnsi="Times New Roman" w:cs="Times New Roman"/>
      <w:szCs w:val="24"/>
    </w:rPr>
  </w:style>
  <w:style w:type="paragraph" w:styleId="Rientronormale">
    <w:name w:val="Normal Indent"/>
    <w:basedOn w:val="Normale"/>
    <w:uiPriority w:val="99"/>
    <w:semiHidden/>
    <w:rsid w:val="006544C4"/>
    <w:pPr>
      <w:ind w:left="720"/>
    </w:pPr>
  </w:style>
  <w:style w:type="paragraph" w:styleId="Intestazionenota">
    <w:name w:val="Note Heading"/>
    <w:basedOn w:val="Normale"/>
    <w:next w:val="Normale"/>
    <w:link w:val="IntestazionenotaCarattere"/>
    <w:uiPriority w:val="99"/>
    <w:semiHidden/>
    <w:rsid w:val="006544C4"/>
  </w:style>
  <w:style w:type="character" w:customStyle="1" w:styleId="IntestazionenotaCarattere">
    <w:name w:val="Intestazione nota Carattere"/>
    <w:basedOn w:val="Carpredefinitoparagrafo"/>
    <w:link w:val="Intestazionenota"/>
    <w:uiPriority w:val="99"/>
    <w:semiHidden/>
    <w:rsid w:val="006544C4"/>
    <w:rPr>
      <w:rFonts w:eastAsiaTheme="minorEastAsia"/>
      <w:sz w:val="24"/>
    </w:rPr>
  </w:style>
  <w:style w:type="character" w:styleId="Testosegnaposto">
    <w:name w:val="Placeholder Text"/>
    <w:basedOn w:val="Carpredefinitoparagrafo"/>
    <w:uiPriority w:val="99"/>
    <w:semiHidden/>
    <w:rsid w:val="006544C4"/>
    <w:rPr>
      <w:color w:val="808080"/>
    </w:rPr>
  </w:style>
  <w:style w:type="paragraph" w:styleId="Testonormale">
    <w:name w:val="Plain Text"/>
    <w:basedOn w:val="Normale"/>
    <w:link w:val="TestonormaleCarattere"/>
    <w:uiPriority w:val="99"/>
    <w:semiHidden/>
    <w:rsid w:val="006544C4"/>
    <w:rPr>
      <w:rFonts w:ascii="Consolas" w:hAnsi="Consolas" w:cs="Consolas"/>
      <w:sz w:val="21"/>
      <w:szCs w:val="21"/>
    </w:rPr>
  </w:style>
  <w:style w:type="character" w:customStyle="1" w:styleId="TestonormaleCarattere">
    <w:name w:val="Testo normale Carattere"/>
    <w:basedOn w:val="Carpredefinitoparagrafo"/>
    <w:link w:val="Testonormale"/>
    <w:uiPriority w:val="99"/>
    <w:semiHidden/>
    <w:rsid w:val="006544C4"/>
    <w:rPr>
      <w:rFonts w:ascii="Consolas" w:eastAsiaTheme="minorEastAsia" w:hAnsi="Consolas" w:cs="Consolas"/>
      <w:sz w:val="21"/>
      <w:szCs w:val="21"/>
    </w:rPr>
  </w:style>
  <w:style w:type="paragraph" w:styleId="Formuladiapertura">
    <w:name w:val="Salutation"/>
    <w:basedOn w:val="Normale"/>
    <w:next w:val="Normale"/>
    <w:link w:val="FormuladiaperturaCarattere"/>
    <w:uiPriority w:val="99"/>
    <w:semiHidden/>
    <w:rsid w:val="006544C4"/>
  </w:style>
  <w:style w:type="character" w:customStyle="1" w:styleId="FormuladiaperturaCarattere">
    <w:name w:val="Formula di apertura Carattere"/>
    <w:basedOn w:val="Carpredefinitoparagrafo"/>
    <w:link w:val="Formuladiapertura"/>
    <w:uiPriority w:val="99"/>
    <w:semiHidden/>
    <w:rsid w:val="006544C4"/>
    <w:rPr>
      <w:rFonts w:eastAsiaTheme="minorEastAsia"/>
      <w:sz w:val="24"/>
    </w:rPr>
  </w:style>
  <w:style w:type="paragraph" w:styleId="Firma">
    <w:name w:val="Signature"/>
    <w:basedOn w:val="Normale"/>
    <w:link w:val="FirmaCarattere"/>
    <w:uiPriority w:val="99"/>
    <w:semiHidden/>
    <w:rsid w:val="006544C4"/>
    <w:pPr>
      <w:ind w:left="4252"/>
    </w:pPr>
  </w:style>
  <w:style w:type="character" w:customStyle="1" w:styleId="FirmaCarattere">
    <w:name w:val="Firma Carattere"/>
    <w:basedOn w:val="Carpredefinitoparagrafo"/>
    <w:link w:val="Firma"/>
    <w:uiPriority w:val="99"/>
    <w:semiHidden/>
    <w:rsid w:val="006544C4"/>
    <w:rPr>
      <w:rFonts w:eastAsiaTheme="minorEastAsia"/>
      <w:sz w:val="24"/>
    </w:rPr>
  </w:style>
  <w:style w:type="table" w:styleId="Tabellaeffetti3D1">
    <w:name w:val="Table 3D effects 1"/>
    <w:basedOn w:val="Tabellanormale"/>
    <w:uiPriority w:val="99"/>
    <w:semiHidden/>
    <w:unhideWhenUsed/>
    <w:rsid w:val="006544C4"/>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aeffetti3D2">
    <w:name w:val="Table 3D effects 2"/>
    <w:basedOn w:val="Tabellanormale"/>
    <w:uiPriority w:val="99"/>
    <w:semiHidden/>
    <w:unhideWhenUsed/>
    <w:rsid w:val="006544C4"/>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ffetti3D3">
    <w:name w:val="Table 3D effects 3"/>
    <w:basedOn w:val="Tabellanormale"/>
    <w:uiPriority w:val="99"/>
    <w:semiHidden/>
    <w:unhideWhenUsed/>
    <w:rsid w:val="006544C4"/>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1">
    <w:name w:val="Table Classic 1"/>
    <w:basedOn w:val="Tabellanormale"/>
    <w:uiPriority w:val="99"/>
    <w:semiHidden/>
    <w:unhideWhenUsed/>
    <w:rsid w:val="006544C4"/>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2">
    <w:name w:val="Table Classic 2"/>
    <w:basedOn w:val="Tabellanormale"/>
    <w:uiPriority w:val="99"/>
    <w:semiHidden/>
    <w:unhideWhenUsed/>
    <w:rsid w:val="006544C4"/>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aclassica3">
    <w:name w:val="Table Classic 3"/>
    <w:basedOn w:val="Tabellanormale"/>
    <w:uiPriority w:val="99"/>
    <w:semiHidden/>
    <w:unhideWhenUsed/>
    <w:rsid w:val="006544C4"/>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aclassica4">
    <w:name w:val="Table Classic 4"/>
    <w:basedOn w:val="Tabellanormale"/>
    <w:uiPriority w:val="99"/>
    <w:semiHidden/>
    <w:unhideWhenUsed/>
    <w:rsid w:val="006544C4"/>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aacolori1">
    <w:name w:val="Table Colorful 1"/>
    <w:basedOn w:val="Tabellanormale"/>
    <w:uiPriority w:val="99"/>
    <w:semiHidden/>
    <w:unhideWhenUsed/>
    <w:rsid w:val="006544C4"/>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aacolori2">
    <w:name w:val="Table Colorful 2"/>
    <w:basedOn w:val="Tabellanormale"/>
    <w:uiPriority w:val="99"/>
    <w:semiHidden/>
    <w:unhideWhenUsed/>
    <w:rsid w:val="006544C4"/>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aacolori3">
    <w:name w:val="Table Colorful 3"/>
    <w:basedOn w:val="Tabellanormale"/>
    <w:uiPriority w:val="99"/>
    <w:semiHidden/>
    <w:unhideWhenUsed/>
    <w:rsid w:val="006544C4"/>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acolonne1">
    <w:name w:val="Table Columns 1"/>
    <w:basedOn w:val="Tabellanormale"/>
    <w:uiPriority w:val="99"/>
    <w:semiHidden/>
    <w:unhideWhenUsed/>
    <w:rsid w:val="006544C4"/>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2">
    <w:name w:val="Table Columns 2"/>
    <w:basedOn w:val="Tabellanormale"/>
    <w:uiPriority w:val="99"/>
    <w:semiHidden/>
    <w:unhideWhenUsed/>
    <w:rsid w:val="006544C4"/>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3">
    <w:name w:val="Table Columns 3"/>
    <w:basedOn w:val="Tabellanormale"/>
    <w:uiPriority w:val="99"/>
    <w:semiHidden/>
    <w:unhideWhenUsed/>
    <w:rsid w:val="006544C4"/>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acolonne4">
    <w:name w:val="Table Columns 4"/>
    <w:basedOn w:val="Tabellanormale"/>
    <w:uiPriority w:val="99"/>
    <w:semiHidden/>
    <w:unhideWhenUsed/>
    <w:rsid w:val="006544C4"/>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acolonne5">
    <w:name w:val="Table Columns 5"/>
    <w:basedOn w:val="Tabellanormale"/>
    <w:uiPriority w:val="99"/>
    <w:semiHidden/>
    <w:unhideWhenUsed/>
    <w:rsid w:val="006544C4"/>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acontemporanea">
    <w:name w:val="Table Contemporary"/>
    <w:basedOn w:val="Tabellanormale"/>
    <w:uiPriority w:val="99"/>
    <w:semiHidden/>
    <w:unhideWhenUsed/>
    <w:rsid w:val="006544C4"/>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aelegante">
    <w:name w:val="Table Elegant"/>
    <w:basedOn w:val="Tabellanormale"/>
    <w:uiPriority w:val="99"/>
    <w:semiHidden/>
    <w:unhideWhenUsed/>
    <w:rsid w:val="006544C4"/>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gliatabella1">
    <w:name w:val="Table Grid 1"/>
    <w:basedOn w:val="Tabellanormale"/>
    <w:uiPriority w:val="99"/>
    <w:semiHidden/>
    <w:unhideWhenUsed/>
    <w:rsid w:val="006544C4"/>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gliatabella2">
    <w:name w:val="Table Grid 2"/>
    <w:basedOn w:val="Tabellanormale"/>
    <w:uiPriority w:val="99"/>
    <w:semiHidden/>
    <w:unhideWhenUsed/>
    <w:rsid w:val="006544C4"/>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3">
    <w:name w:val="Table Grid 3"/>
    <w:basedOn w:val="Tabellanormale"/>
    <w:uiPriority w:val="99"/>
    <w:semiHidden/>
    <w:unhideWhenUsed/>
    <w:rsid w:val="006544C4"/>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4">
    <w:name w:val="Table Grid 4"/>
    <w:basedOn w:val="Tabellanormale"/>
    <w:uiPriority w:val="99"/>
    <w:semiHidden/>
    <w:unhideWhenUsed/>
    <w:rsid w:val="006544C4"/>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gliatabella5">
    <w:name w:val="Table Grid 5"/>
    <w:basedOn w:val="Tabellanormale"/>
    <w:uiPriority w:val="99"/>
    <w:semiHidden/>
    <w:unhideWhenUsed/>
    <w:rsid w:val="006544C4"/>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6">
    <w:name w:val="Table Grid 6"/>
    <w:basedOn w:val="Tabellanormale"/>
    <w:uiPriority w:val="99"/>
    <w:semiHidden/>
    <w:unhideWhenUsed/>
    <w:rsid w:val="006544C4"/>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7">
    <w:name w:val="Table Grid 7"/>
    <w:basedOn w:val="Tabellanormale"/>
    <w:uiPriority w:val="99"/>
    <w:semiHidden/>
    <w:unhideWhenUsed/>
    <w:rsid w:val="006544C4"/>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8">
    <w:name w:val="Table Grid 8"/>
    <w:basedOn w:val="Tabellanormale"/>
    <w:uiPriority w:val="99"/>
    <w:semiHidden/>
    <w:unhideWhenUsed/>
    <w:rsid w:val="006544C4"/>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Elencotabella1">
    <w:name w:val="Table List 1"/>
    <w:basedOn w:val="Tabellanormale"/>
    <w:uiPriority w:val="99"/>
    <w:semiHidden/>
    <w:unhideWhenUsed/>
    <w:rsid w:val="006544C4"/>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2">
    <w:name w:val="Table List 2"/>
    <w:basedOn w:val="Tabellanormale"/>
    <w:uiPriority w:val="99"/>
    <w:semiHidden/>
    <w:unhideWhenUsed/>
    <w:rsid w:val="006544C4"/>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3">
    <w:name w:val="Table List 3"/>
    <w:basedOn w:val="Tabellanormale"/>
    <w:uiPriority w:val="99"/>
    <w:semiHidden/>
    <w:unhideWhenUsed/>
    <w:rsid w:val="006544C4"/>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Elencotabella4">
    <w:name w:val="Table List 4"/>
    <w:basedOn w:val="Tabellanormale"/>
    <w:uiPriority w:val="99"/>
    <w:semiHidden/>
    <w:unhideWhenUsed/>
    <w:rsid w:val="006544C4"/>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Elencotabella5">
    <w:name w:val="Table List 5"/>
    <w:basedOn w:val="Tabellanormale"/>
    <w:uiPriority w:val="99"/>
    <w:semiHidden/>
    <w:unhideWhenUsed/>
    <w:rsid w:val="006544C4"/>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Elencotabella6">
    <w:name w:val="Table List 6"/>
    <w:basedOn w:val="Tabellanormale"/>
    <w:uiPriority w:val="99"/>
    <w:semiHidden/>
    <w:unhideWhenUsed/>
    <w:rsid w:val="006544C4"/>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Elencotabella7">
    <w:name w:val="Table List 7"/>
    <w:basedOn w:val="Tabellanormale"/>
    <w:uiPriority w:val="99"/>
    <w:semiHidden/>
    <w:unhideWhenUsed/>
    <w:rsid w:val="006544C4"/>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Elencotabella8">
    <w:name w:val="Table List 8"/>
    <w:basedOn w:val="Tabellanormale"/>
    <w:uiPriority w:val="99"/>
    <w:semiHidden/>
    <w:unhideWhenUsed/>
    <w:rsid w:val="006544C4"/>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Indicefonti">
    <w:name w:val="table of authorities"/>
    <w:basedOn w:val="Normale"/>
    <w:next w:val="Normale"/>
    <w:uiPriority w:val="99"/>
    <w:semiHidden/>
    <w:rsid w:val="006544C4"/>
    <w:pPr>
      <w:ind w:left="240" w:hanging="240"/>
    </w:pPr>
  </w:style>
  <w:style w:type="paragraph" w:styleId="Indicedellefigure">
    <w:name w:val="table of figures"/>
    <w:basedOn w:val="Normale"/>
    <w:next w:val="Normale"/>
    <w:uiPriority w:val="99"/>
    <w:semiHidden/>
    <w:rsid w:val="006544C4"/>
  </w:style>
  <w:style w:type="table" w:styleId="Tabellaprofessionale">
    <w:name w:val="Table Professional"/>
    <w:basedOn w:val="Tabellanormale"/>
    <w:uiPriority w:val="99"/>
    <w:semiHidden/>
    <w:unhideWhenUsed/>
    <w:rsid w:val="006544C4"/>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asemplice1">
    <w:name w:val="Table Simple 1"/>
    <w:basedOn w:val="Tabellanormale"/>
    <w:uiPriority w:val="99"/>
    <w:semiHidden/>
    <w:unhideWhenUsed/>
    <w:rsid w:val="006544C4"/>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asemplice2">
    <w:name w:val="Table Simple 2"/>
    <w:basedOn w:val="Tabellanormale"/>
    <w:uiPriority w:val="99"/>
    <w:semiHidden/>
    <w:unhideWhenUsed/>
    <w:rsid w:val="006544C4"/>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asemplice3">
    <w:name w:val="Table Simple 3"/>
    <w:basedOn w:val="Tabellanormale"/>
    <w:uiPriority w:val="99"/>
    <w:semiHidden/>
    <w:unhideWhenUsed/>
    <w:rsid w:val="006544C4"/>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aconombreggiatura1">
    <w:name w:val="Table Subtle 1"/>
    <w:basedOn w:val="Tabellanormale"/>
    <w:uiPriority w:val="99"/>
    <w:semiHidden/>
    <w:unhideWhenUsed/>
    <w:rsid w:val="006544C4"/>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nombreggiatura2">
    <w:name w:val="Table Subtle 2"/>
    <w:basedOn w:val="Tabellanormale"/>
    <w:uiPriority w:val="99"/>
    <w:semiHidden/>
    <w:unhideWhenUsed/>
    <w:rsid w:val="006544C4"/>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tema">
    <w:name w:val="Table Theme"/>
    <w:basedOn w:val="Tabellanormale"/>
    <w:uiPriority w:val="99"/>
    <w:semiHidden/>
    <w:unhideWhenUsed/>
    <w:rsid w:val="006544C4"/>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aWeb1">
    <w:name w:val="Table Web 1"/>
    <w:basedOn w:val="Tabellanormale"/>
    <w:uiPriority w:val="99"/>
    <w:semiHidden/>
    <w:unhideWhenUsed/>
    <w:rsid w:val="006544C4"/>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2">
    <w:name w:val="Table Web 2"/>
    <w:basedOn w:val="Tabellanormale"/>
    <w:uiPriority w:val="99"/>
    <w:semiHidden/>
    <w:unhideWhenUsed/>
    <w:rsid w:val="006544C4"/>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3">
    <w:name w:val="Table Web 3"/>
    <w:basedOn w:val="Tabellanormale"/>
    <w:uiPriority w:val="99"/>
    <w:semiHidden/>
    <w:unhideWhenUsed/>
    <w:rsid w:val="006544C4"/>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Sommario6">
    <w:name w:val="toc 6"/>
    <w:basedOn w:val="Normale"/>
    <w:next w:val="Normale"/>
    <w:autoRedefine/>
    <w:uiPriority w:val="99"/>
    <w:semiHidden/>
    <w:rsid w:val="006544C4"/>
    <w:pPr>
      <w:spacing w:after="100"/>
      <w:ind w:left="1200"/>
    </w:pPr>
  </w:style>
  <w:style w:type="paragraph" w:styleId="Sommario7">
    <w:name w:val="toc 7"/>
    <w:basedOn w:val="Normale"/>
    <w:next w:val="Normale"/>
    <w:autoRedefine/>
    <w:uiPriority w:val="99"/>
    <w:semiHidden/>
    <w:rsid w:val="006544C4"/>
    <w:pPr>
      <w:spacing w:after="100"/>
      <w:ind w:left="1440"/>
    </w:pPr>
  </w:style>
  <w:style w:type="paragraph" w:styleId="Sommario8">
    <w:name w:val="toc 8"/>
    <w:basedOn w:val="Normale"/>
    <w:next w:val="Normale"/>
    <w:autoRedefine/>
    <w:uiPriority w:val="99"/>
    <w:semiHidden/>
    <w:rsid w:val="006544C4"/>
    <w:pPr>
      <w:spacing w:after="100"/>
      <w:ind w:left="1680"/>
    </w:pPr>
  </w:style>
  <w:style w:type="paragraph" w:styleId="Sommario9">
    <w:name w:val="toc 9"/>
    <w:basedOn w:val="Normale"/>
    <w:next w:val="Normale"/>
    <w:autoRedefine/>
    <w:uiPriority w:val="99"/>
    <w:semiHidden/>
    <w:rsid w:val="006544C4"/>
    <w:pPr>
      <w:spacing w:after="100"/>
      <w:ind w:left="1920"/>
    </w:pPr>
  </w:style>
  <w:style w:type="character" w:customStyle="1" w:styleId="sb8d990e2">
    <w:name w:val="sb8d990e2"/>
    <w:basedOn w:val="Carpredefinitoparagrafo"/>
    <w:rsid w:val="00934A97"/>
  </w:style>
  <w:style w:type="paragraph" w:customStyle="1" w:styleId="ECHRFooter">
    <w:name w:val="ECHR_Footer"/>
    <w:aliases w:val="Footer_ECHR"/>
    <w:basedOn w:val="Pidipagina"/>
    <w:uiPriority w:val="57"/>
    <w:semiHidden/>
    <w:rsid w:val="006F453D"/>
    <w:pPr>
      <w:jc w:val="left"/>
    </w:pPr>
    <w:rPr>
      <w:rFonts w:eastAsiaTheme="minorHAnsi"/>
      <w:sz w:val="8"/>
    </w:rPr>
  </w:style>
  <w:style w:type="paragraph" w:customStyle="1" w:styleId="ECHRFooterLine">
    <w:name w:val="ECHR_Footer_Line"/>
    <w:aliases w:val="Footer_Line"/>
    <w:basedOn w:val="Normale"/>
    <w:next w:val="ECHRFooter"/>
    <w:uiPriority w:val="57"/>
    <w:semiHidden/>
    <w:rsid w:val="006F453D"/>
    <w:pPr>
      <w:pBdr>
        <w:top w:val="single" w:sz="6" w:space="1" w:color="5F5F5F"/>
      </w:pBdr>
      <w:tabs>
        <w:tab w:val="center" w:pos="4536"/>
        <w:tab w:val="right" w:pos="9696"/>
      </w:tabs>
      <w:ind w:left="-680" w:right="-680"/>
      <w:jc w:val="left"/>
    </w:pPr>
    <w:rPr>
      <w:color w:val="5F5F5F"/>
    </w:rPr>
  </w:style>
  <w:style w:type="paragraph" w:customStyle="1" w:styleId="JuCase">
    <w:name w:val="Ju_Case"/>
    <w:basedOn w:val="Normale"/>
    <w:next w:val="ECHRPara"/>
    <w:uiPriority w:val="10"/>
    <w:semiHidden/>
    <w:rsid w:val="006F453D"/>
    <w:pPr>
      <w:ind w:firstLine="284"/>
    </w:pPr>
    <w:rPr>
      <w:b/>
    </w:rPr>
  </w:style>
  <w:style w:type="character" w:customStyle="1" w:styleId="s6b621b36">
    <w:name w:val="s6b621b36"/>
    <w:basedOn w:val="Carpredefinitoparagrafo"/>
    <w:rsid w:val="006F453D"/>
  </w:style>
  <w:style w:type="character" w:customStyle="1" w:styleId="sfbbfee58">
    <w:name w:val="sfbbfee58"/>
    <w:basedOn w:val="Carpredefinitoparagrafo"/>
    <w:rsid w:val="006F45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5431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hudoc.echr.coe.int/sites/eng/Pages/search.aspx"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hudoc.echr.coe.int/sites/eng/Pages/search.aspx" TargetMode="Externa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8EB02BDB9E204AB350EDD385B68E10" ma:contentTypeVersion="0" ma:contentTypeDescription="Create a new document." ma:contentTypeScope="" ma:versionID="4c0f801ee557d5c8fba2c83aceb7a3a2">
  <xsd:schema xmlns:xsd="http://www.w3.org/2001/XMLSchema" xmlns:xs="http://www.w3.org/2001/XMLSchema" xmlns:p="http://schemas.microsoft.com/office/2006/metadata/properties" targetNamespace="http://schemas.microsoft.com/office/2006/metadata/properties" ma:root="true" ma:fieldsID="66a9e0779a85d62bb2248c31b91edb7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1B0FEE-2505-4671-A5AE-F05EDAE906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CA9CF9C-0FAD-4CD4-B098-4B4B46809D18}">
  <ds:schemaRefs>
    <ds:schemaRef ds:uri="http://schemas.microsoft.com/sharepoint/v3/contenttype/forms"/>
  </ds:schemaRefs>
</ds:datastoreItem>
</file>

<file path=customXml/itemProps3.xml><?xml version="1.0" encoding="utf-8"?>
<ds:datastoreItem xmlns:ds="http://schemas.openxmlformats.org/officeDocument/2006/customXml" ds:itemID="{A9EC50C7-2778-4253-8A3E-90FE689594C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431B0E3-F806-4D31-9D70-64C7058E69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4817</Words>
  <Characters>27460</Characters>
  <Application>Microsoft Office Word</Application>
  <DocSecurity>0</DocSecurity>
  <Lines>228</Lines>
  <Paragraphs>64</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ECHR</vt:lpstr>
      <vt:lpstr>Décision</vt:lpstr>
    </vt:vector>
  </TitlesOfParts>
  <Manager/>
  <Company/>
  <LinksUpToDate>false</LinksUpToDate>
  <CharactersWithSpaces>32213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DCF</dc:subject>
  <dc:creator/>
  <cp:lastModifiedBy/>
  <cp:revision>1</cp:revision>
  <dcterms:created xsi:type="dcterms:W3CDTF">2015-10-22T15:35:00Z</dcterms:created>
  <dcterms:modified xsi:type="dcterms:W3CDTF">2015-10-22T15:35:00Z</dcterms:modified>
  <cp:category>ECHR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0x010100558EB02BDB9E204AB350EDD385B68E10</vt:lpwstr>
  </property>
</Properties>
</file>